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D36477" w:rsidRPr="00D36477" w:rsidTr="00D36477">
        <w:tc>
          <w:tcPr>
            <w:tcW w:w="4785" w:type="dxa"/>
          </w:tcPr>
          <w:p w:rsidR="00D36477" w:rsidRPr="00EF3FA5" w:rsidRDefault="00D36477" w:rsidP="00D36477">
            <w:pPr>
              <w:pStyle w:val="1"/>
              <w:numPr>
                <w:ilvl w:val="0"/>
                <w:numId w:val="2"/>
              </w:numPr>
              <w:ind w:left="142" w:firstLine="284"/>
              <w:contextualSpacing/>
              <w:outlineLvl w:val="0"/>
            </w:pPr>
            <w:bookmarkStart w:id="0" w:name="_Toc396864085"/>
            <w:r w:rsidRPr="00EF3FA5">
              <w:t>ФОНДЫ ОБЩЕСТВА</w:t>
            </w:r>
            <w:bookmarkEnd w:id="0"/>
          </w:p>
          <w:p w:rsidR="00D36477" w:rsidRPr="00D36477" w:rsidRDefault="00D36477" w:rsidP="00D36477">
            <w:pPr>
              <w:numPr>
                <w:ilvl w:val="1"/>
                <w:numId w:val="2"/>
              </w:numPr>
              <w:autoSpaceDE w:val="0"/>
              <w:autoSpaceDN w:val="0"/>
              <w:adjustRightInd w:val="0"/>
              <w:spacing w:before="120" w:after="120"/>
              <w:ind w:left="142" w:firstLine="284"/>
              <w:contextualSpacing/>
              <w:jc w:val="both"/>
              <w:rPr>
                <w:rFonts w:ascii="Times New Roman" w:hAnsi="Times New Roman" w:cs="Times New Roman"/>
                <w:sz w:val="24"/>
                <w:szCs w:val="24"/>
                <w:lang w:val="ru-RU"/>
              </w:rPr>
            </w:pPr>
            <w:r w:rsidRPr="00D36477">
              <w:rPr>
                <w:rFonts w:ascii="Times New Roman" w:hAnsi="Times New Roman" w:cs="Times New Roman"/>
                <w:sz w:val="24"/>
                <w:szCs w:val="24"/>
                <w:lang w:val="ru-RU"/>
              </w:rPr>
              <w:t>В Обществе создается резервный фонд в размере 25</w:t>
            </w:r>
            <w:r w:rsidRPr="00D36477">
              <w:rPr>
                <w:rFonts w:ascii="Arial" w:hAnsi="Arial" w:cs="Arial"/>
                <w:sz w:val="20"/>
                <w:szCs w:val="20"/>
                <w:lang w:val="ru-RU"/>
              </w:rPr>
              <w:t xml:space="preserve"> </w:t>
            </w:r>
            <w:r w:rsidRPr="00D36477">
              <w:rPr>
                <w:rFonts w:ascii="Times New Roman" w:hAnsi="Times New Roman" w:cs="Times New Roman"/>
                <w:sz w:val="24"/>
                <w:szCs w:val="24"/>
                <w:lang w:val="ru-RU"/>
              </w:rPr>
              <w:t>(двадцать пять) процентов от уставного капитала Общества.</w:t>
            </w:r>
          </w:p>
          <w:p w:rsidR="00D36477" w:rsidRPr="00EF3FA5" w:rsidRDefault="00D36477" w:rsidP="00D36477">
            <w:pPr>
              <w:pStyle w:val="a4"/>
              <w:numPr>
                <w:ilvl w:val="2"/>
                <w:numId w:val="2"/>
              </w:numPr>
              <w:tabs>
                <w:tab w:val="left" w:pos="1560"/>
              </w:tabs>
              <w:suppressAutoHyphens w:val="0"/>
              <w:autoSpaceDE w:val="0"/>
              <w:autoSpaceDN w:val="0"/>
              <w:adjustRightInd w:val="0"/>
              <w:spacing w:after="120"/>
              <w:ind w:left="142" w:firstLine="284"/>
              <w:contextualSpacing/>
              <w:rPr>
                <w:rFonts w:ascii="Times New Roman" w:hAnsi="Times New Roman" w:cs="Times New Roman"/>
                <w:sz w:val="24"/>
                <w:szCs w:val="24"/>
              </w:rPr>
            </w:pPr>
            <w:r w:rsidRPr="00EF3FA5">
              <w:rPr>
                <w:rFonts w:ascii="Times New Roman" w:hAnsi="Times New Roman" w:cs="Times New Roman"/>
                <w:sz w:val="24"/>
                <w:szCs w:val="24"/>
              </w:rPr>
              <w:t xml:space="preserve">Величина ежегодных отчислений в резервный фонд Общества составляет    5 (пять) процентов от чистой прибыли Общества. Указанные отчисления производятся до достижения размера резервного фонда, предусмотренного </w:t>
            </w:r>
            <w:r>
              <w:rPr>
                <w:rFonts w:ascii="Times New Roman" w:hAnsi="Times New Roman" w:cs="Times New Roman"/>
                <w:sz w:val="24"/>
                <w:szCs w:val="24"/>
              </w:rPr>
              <w:t xml:space="preserve">настоящим </w:t>
            </w:r>
            <w:r w:rsidRPr="00EF3FA5">
              <w:rPr>
                <w:rFonts w:ascii="Times New Roman" w:hAnsi="Times New Roman" w:cs="Times New Roman"/>
                <w:sz w:val="24"/>
                <w:szCs w:val="24"/>
              </w:rPr>
              <w:t>Уставом.</w:t>
            </w:r>
          </w:p>
          <w:p w:rsidR="00D36477" w:rsidRDefault="00D36477" w:rsidP="00D36477">
            <w:pPr>
              <w:pStyle w:val="a4"/>
              <w:numPr>
                <w:ilvl w:val="2"/>
                <w:numId w:val="2"/>
              </w:numPr>
              <w:tabs>
                <w:tab w:val="left" w:pos="1560"/>
              </w:tabs>
              <w:suppressAutoHyphens w:val="0"/>
              <w:autoSpaceDE w:val="0"/>
              <w:autoSpaceDN w:val="0"/>
              <w:adjustRightInd w:val="0"/>
              <w:spacing w:after="120"/>
              <w:ind w:left="142" w:firstLine="284"/>
              <w:contextualSpacing/>
              <w:rPr>
                <w:rFonts w:ascii="Times New Roman" w:hAnsi="Times New Roman" w:cs="Times New Roman"/>
                <w:sz w:val="24"/>
                <w:szCs w:val="24"/>
              </w:rPr>
            </w:pPr>
            <w:r w:rsidRPr="00EF3FA5">
              <w:rPr>
                <w:rFonts w:ascii="Times New Roman" w:hAnsi="Times New Roman" w:cs="Times New Roman"/>
                <w:sz w:val="24"/>
                <w:szCs w:val="24"/>
              </w:rPr>
              <w:t>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w:t>
            </w:r>
          </w:p>
          <w:p w:rsidR="00D36477" w:rsidRPr="00D36477" w:rsidRDefault="00D36477" w:rsidP="00D36477">
            <w:pPr>
              <w:pStyle w:val="a4"/>
              <w:tabs>
                <w:tab w:val="left" w:pos="1560"/>
              </w:tabs>
              <w:suppressAutoHyphens w:val="0"/>
              <w:autoSpaceDE w:val="0"/>
              <w:autoSpaceDN w:val="0"/>
              <w:adjustRightInd w:val="0"/>
              <w:spacing w:after="120"/>
              <w:ind w:left="426"/>
              <w:contextualSpacing/>
              <w:rPr>
                <w:rFonts w:ascii="Times New Roman" w:hAnsi="Times New Roman" w:cs="Times New Roman"/>
                <w:sz w:val="24"/>
                <w:szCs w:val="24"/>
              </w:rPr>
            </w:pPr>
          </w:p>
          <w:p w:rsidR="00D36477" w:rsidRPr="00EF3FA5" w:rsidRDefault="00D36477" w:rsidP="00D36477">
            <w:pPr>
              <w:pStyle w:val="a4"/>
              <w:numPr>
                <w:ilvl w:val="2"/>
                <w:numId w:val="2"/>
              </w:numPr>
              <w:tabs>
                <w:tab w:val="left" w:pos="1560"/>
              </w:tabs>
              <w:suppressAutoHyphens w:val="0"/>
              <w:autoSpaceDE w:val="0"/>
              <w:autoSpaceDN w:val="0"/>
              <w:adjustRightInd w:val="0"/>
              <w:spacing w:after="120"/>
              <w:ind w:left="142" w:firstLine="284"/>
              <w:contextualSpacing/>
              <w:rPr>
                <w:rFonts w:ascii="Times New Roman" w:hAnsi="Times New Roman" w:cs="Times New Roman"/>
                <w:sz w:val="24"/>
                <w:szCs w:val="24"/>
              </w:rPr>
            </w:pPr>
            <w:r w:rsidRPr="00EF3FA5">
              <w:rPr>
                <w:rFonts w:ascii="Times New Roman" w:hAnsi="Times New Roman" w:cs="Times New Roman"/>
                <w:sz w:val="24"/>
                <w:szCs w:val="24"/>
              </w:rPr>
              <w:t>Резервный фонд не может быть использован для иных целей.</w:t>
            </w:r>
          </w:p>
          <w:p w:rsidR="00D36477" w:rsidRDefault="00D36477" w:rsidP="00D36477">
            <w:pPr>
              <w:numPr>
                <w:ilvl w:val="1"/>
                <w:numId w:val="2"/>
              </w:numPr>
              <w:autoSpaceDE w:val="0"/>
              <w:autoSpaceDN w:val="0"/>
              <w:adjustRightInd w:val="0"/>
              <w:spacing w:before="120" w:after="120"/>
              <w:ind w:left="142" w:firstLine="284"/>
              <w:contextualSpacing/>
              <w:jc w:val="both"/>
              <w:rPr>
                <w:rFonts w:ascii="Times New Roman" w:hAnsi="Times New Roman" w:cs="Times New Roman"/>
                <w:sz w:val="24"/>
                <w:szCs w:val="24"/>
                <w:lang w:val="ru-RU"/>
              </w:rPr>
            </w:pPr>
            <w:r w:rsidRPr="00D36477">
              <w:rPr>
                <w:rFonts w:ascii="Times New Roman" w:hAnsi="Times New Roman" w:cs="Times New Roman"/>
                <w:sz w:val="24"/>
                <w:szCs w:val="24"/>
                <w:lang w:val="ru-RU"/>
              </w:rPr>
              <w:t>Из чистой прибыли Общества может формироваться специальный фонд акционирования работников Общества.</w:t>
            </w:r>
          </w:p>
          <w:p w:rsidR="00D36477" w:rsidRPr="00D36477" w:rsidRDefault="00D36477" w:rsidP="00D36477">
            <w:pPr>
              <w:autoSpaceDE w:val="0"/>
              <w:autoSpaceDN w:val="0"/>
              <w:adjustRightInd w:val="0"/>
              <w:spacing w:before="120" w:after="120"/>
              <w:ind w:left="426"/>
              <w:contextualSpacing/>
              <w:jc w:val="both"/>
              <w:rPr>
                <w:rFonts w:ascii="Times New Roman" w:hAnsi="Times New Roman" w:cs="Times New Roman"/>
                <w:sz w:val="24"/>
                <w:szCs w:val="24"/>
                <w:lang w:val="ru-RU"/>
              </w:rPr>
            </w:pPr>
          </w:p>
          <w:p w:rsidR="00D36477" w:rsidRPr="00EF3FA5" w:rsidRDefault="00D36477" w:rsidP="00D36477">
            <w:pPr>
              <w:pStyle w:val="a4"/>
              <w:numPr>
                <w:ilvl w:val="2"/>
                <w:numId w:val="2"/>
              </w:numPr>
              <w:tabs>
                <w:tab w:val="left" w:pos="1560"/>
              </w:tabs>
              <w:suppressAutoHyphens w:val="0"/>
              <w:autoSpaceDE w:val="0"/>
              <w:autoSpaceDN w:val="0"/>
              <w:adjustRightInd w:val="0"/>
              <w:spacing w:after="120"/>
              <w:ind w:left="142" w:firstLine="284"/>
              <w:contextualSpacing/>
              <w:rPr>
                <w:rFonts w:ascii="Times New Roman" w:hAnsi="Times New Roman" w:cs="Times New Roman"/>
                <w:sz w:val="24"/>
                <w:szCs w:val="24"/>
              </w:rPr>
            </w:pPr>
            <w:r w:rsidRPr="00EF3FA5">
              <w:rPr>
                <w:rFonts w:ascii="Times New Roman" w:hAnsi="Times New Roman" w:cs="Times New Roman"/>
                <w:sz w:val="24"/>
                <w:szCs w:val="24"/>
              </w:rPr>
              <w:t xml:space="preserve">Средства фонда акционирования расходуются исключительно на приобретение акций Общества, продаваемых акционерами, для последующего </w:t>
            </w:r>
            <w:r>
              <w:rPr>
                <w:rFonts w:ascii="Times New Roman" w:hAnsi="Times New Roman" w:cs="Times New Roman"/>
                <w:sz w:val="24"/>
                <w:szCs w:val="24"/>
              </w:rPr>
              <w:t>размещения</w:t>
            </w:r>
            <w:r w:rsidRPr="00EF3FA5">
              <w:rPr>
                <w:rFonts w:ascii="Times New Roman" w:hAnsi="Times New Roman" w:cs="Times New Roman"/>
                <w:sz w:val="24"/>
                <w:szCs w:val="24"/>
              </w:rPr>
              <w:t xml:space="preserve"> работникам Общества.</w:t>
            </w:r>
          </w:p>
          <w:p w:rsidR="00D36477" w:rsidRDefault="00D36477" w:rsidP="00D36477">
            <w:pPr>
              <w:pStyle w:val="a4"/>
              <w:numPr>
                <w:ilvl w:val="2"/>
                <w:numId w:val="2"/>
              </w:numPr>
              <w:tabs>
                <w:tab w:val="left" w:pos="1560"/>
              </w:tabs>
              <w:suppressAutoHyphens w:val="0"/>
              <w:autoSpaceDE w:val="0"/>
              <w:autoSpaceDN w:val="0"/>
              <w:adjustRightInd w:val="0"/>
              <w:spacing w:after="120"/>
              <w:ind w:left="142" w:firstLine="284"/>
              <w:contextualSpacing/>
              <w:rPr>
                <w:rFonts w:ascii="Times New Roman" w:hAnsi="Times New Roman" w:cs="Times New Roman"/>
                <w:sz w:val="24"/>
                <w:szCs w:val="24"/>
              </w:rPr>
            </w:pPr>
            <w:r w:rsidRPr="00EF3FA5">
              <w:rPr>
                <w:rFonts w:ascii="Times New Roman" w:hAnsi="Times New Roman" w:cs="Times New Roman"/>
                <w:sz w:val="24"/>
                <w:szCs w:val="24"/>
              </w:rPr>
              <w:t>При возмездной реализации работникам Общества акций, приобретенных за счет средств фонда акционирования работников Общества, вырученные средства направляются на формирование указанного фонда.</w:t>
            </w:r>
          </w:p>
          <w:p w:rsidR="00D36477" w:rsidRPr="00EF3FA5" w:rsidRDefault="00D36477" w:rsidP="00D36477">
            <w:pPr>
              <w:pStyle w:val="a4"/>
              <w:tabs>
                <w:tab w:val="left" w:pos="1560"/>
              </w:tabs>
              <w:suppressAutoHyphens w:val="0"/>
              <w:autoSpaceDE w:val="0"/>
              <w:autoSpaceDN w:val="0"/>
              <w:adjustRightInd w:val="0"/>
              <w:spacing w:after="120"/>
              <w:ind w:left="426"/>
              <w:contextualSpacing/>
              <w:rPr>
                <w:rFonts w:ascii="Times New Roman" w:hAnsi="Times New Roman" w:cs="Times New Roman"/>
                <w:sz w:val="24"/>
                <w:szCs w:val="24"/>
              </w:rPr>
            </w:pPr>
          </w:p>
          <w:p w:rsidR="00D36477" w:rsidRPr="00D36477" w:rsidRDefault="00D36477" w:rsidP="00D36477">
            <w:pPr>
              <w:numPr>
                <w:ilvl w:val="1"/>
                <w:numId w:val="2"/>
              </w:numPr>
              <w:autoSpaceDE w:val="0"/>
              <w:autoSpaceDN w:val="0"/>
              <w:adjustRightInd w:val="0"/>
              <w:spacing w:before="120" w:after="120"/>
              <w:ind w:left="142" w:firstLine="284"/>
              <w:contextualSpacing/>
              <w:jc w:val="both"/>
              <w:rPr>
                <w:rFonts w:ascii="Times New Roman" w:hAnsi="Times New Roman" w:cs="Times New Roman"/>
                <w:sz w:val="24"/>
                <w:szCs w:val="24"/>
                <w:lang w:val="ru-RU"/>
              </w:rPr>
            </w:pPr>
            <w:r w:rsidRPr="00D36477">
              <w:rPr>
                <w:rFonts w:ascii="Times New Roman" w:hAnsi="Times New Roman" w:cs="Times New Roman"/>
                <w:sz w:val="24"/>
                <w:szCs w:val="24"/>
                <w:lang w:val="ru-RU"/>
              </w:rPr>
              <w:t>По решению Совета директоров Общество вправе создавать иные фонды. Состав, назначение, источники формирования и порядок использования каждого из фондов определяются Советом директоров Общества.</w:t>
            </w:r>
          </w:p>
          <w:p w:rsidR="00D36477" w:rsidRPr="00EF3FA5" w:rsidRDefault="00D36477" w:rsidP="00D36477">
            <w:pPr>
              <w:pStyle w:val="Default"/>
              <w:ind w:left="142" w:firstLine="284"/>
              <w:contextualSpacing/>
              <w:jc w:val="both"/>
            </w:pPr>
          </w:p>
          <w:p w:rsidR="00D36477" w:rsidRPr="00EF3FA5" w:rsidRDefault="00D36477" w:rsidP="00D36477">
            <w:pPr>
              <w:pStyle w:val="1"/>
              <w:numPr>
                <w:ilvl w:val="0"/>
                <w:numId w:val="2"/>
              </w:numPr>
              <w:ind w:left="142" w:firstLine="284"/>
              <w:contextualSpacing/>
              <w:outlineLvl w:val="0"/>
            </w:pPr>
            <w:bookmarkStart w:id="1" w:name="_Toc396864086"/>
            <w:r w:rsidRPr="00EF3FA5">
              <w:t>ДИВИДЕНДЫ</w:t>
            </w:r>
            <w:bookmarkEnd w:id="1"/>
          </w:p>
          <w:p w:rsidR="00D36477" w:rsidRPr="00D36477" w:rsidRDefault="00D36477" w:rsidP="00D36477">
            <w:pPr>
              <w:numPr>
                <w:ilvl w:val="1"/>
                <w:numId w:val="2"/>
              </w:numPr>
              <w:autoSpaceDE w:val="0"/>
              <w:autoSpaceDN w:val="0"/>
              <w:adjustRightInd w:val="0"/>
              <w:spacing w:before="120" w:after="120"/>
              <w:ind w:left="142" w:firstLine="284"/>
              <w:contextualSpacing/>
              <w:jc w:val="both"/>
              <w:rPr>
                <w:rFonts w:ascii="Times New Roman" w:hAnsi="Times New Roman" w:cs="Times New Roman"/>
                <w:sz w:val="24"/>
                <w:szCs w:val="24"/>
                <w:lang w:val="ru-RU"/>
              </w:rPr>
            </w:pPr>
            <w:r w:rsidRPr="00D36477">
              <w:rPr>
                <w:rFonts w:ascii="Times New Roman" w:hAnsi="Times New Roman" w:cs="Times New Roman"/>
                <w:sz w:val="24"/>
                <w:szCs w:val="24"/>
                <w:lang w:val="ru-RU"/>
              </w:rPr>
              <w:t xml:space="preserve">Источником выплаты дивидендов является прибыль Общества, </w:t>
            </w:r>
            <w:r w:rsidRPr="00D36477">
              <w:rPr>
                <w:rFonts w:ascii="Times New Roman" w:hAnsi="Times New Roman" w:cs="Times New Roman"/>
                <w:sz w:val="24"/>
                <w:szCs w:val="24"/>
                <w:lang w:val="ru-RU"/>
              </w:rPr>
              <w:lastRenderedPageBreak/>
              <w:t>определяемая в соответствии с требованиями, установленными действующим законодательством.</w:t>
            </w:r>
          </w:p>
          <w:p w:rsidR="00D36477" w:rsidRPr="00D36477" w:rsidRDefault="00D36477" w:rsidP="00D36477">
            <w:pPr>
              <w:numPr>
                <w:ilvl w:val="1"/>
                <w:numId w:val="2"/>
              </w:numPr>
              <w:autoSpaceDE w:val="0"/>
              <w:autoSpaceDN w:val="0"/>
              <w:adjustRightInd w:val="0"/>
              <w:spacing w:before="120" w:after="120"/>
              <w:ind w:left="142" w:firstLine="284"/>
              <w:contextualSpacing/>
              <w:jc w:val="both"/>
              <w:rPr>
                <w:rFonts w:ascii="Times New Roman" w:hAnsi="Times New Roman" w:cs="Times New Roman"/>
                <w:sz w:val="24"/>
                <w:szCs w:val="24"/>
                <w:lang w:val="ru-RU"/>
              </w:rPr>
            </w:pPr>
            <w:r w:rsidRPr="00D36477">
              <w:rPr>
                <w:rFonts w:ascii="Times New Roman" w:hAnsi="Times New Roman" w:cs="Times New Roman"/>
                <w:sz w:val="24"/>
                <w:szCs w:val="24"/>
                <w:lang w:val="ru-RU"/>
              </w:rPr>
              <w:t>Общество вправе принимать решения (объявлять) о выплате дивидендов по размещенным акциям в соответствии с действующим законодательством Российской Федерации и настоящим Уставом.</w:t>
            </w:r>
          </w:p>
          <w:p w:rsidR="00D36477" w:rsidRPr="00EF3FA5" w:rsidRDefault="00D36477" w:rsidP="00D36477">
            <w:pPr>
              <w:numPr>
                <w:ilvl w:val="1"/>
                <w:numId w:val="2"/>
              </w:numPr>
              <w:autoSpaceDE w:val="0"/>
              <w:autoSpaceDN w:val="0"/>
              <w:adjustRightInd w:val="0"/>
              <w:spacing w:before="120" w:after="120"/>
              <w:ind w:left="142" w:firstLine="284"/>
              <w:contextualSpacing/>
              <w:jc w:val="both"/>
              <w:rPr>
                <w:rFonts w:ascii="Times New Roman" w:hAnsi="Times New Roman" w:cs="Times New Roman"/>
                <w:sz w:val="24"/>
                <w:szCs w:val="24"/>
              </w:rPr>
            </w:pPr>
            <w:r w:rsidRPr="00D36477">
              <w:rPr>
                <w:rFonts w:ascii="Times New Roman" w:hAnsi="Times New Roman" w:cs="Times New Roman"/>
                <w:sz w:val="24"/>
                <w:szCs w:val="24"/>
                <w:lang w:val="ru-RU"/>
              </w:rPr>
              <w:t xml:space="preserve">Дивиденды выплачиваются в денежной форме. По решению Общего собрания акционеров Общества дивиденды могут выплачиваться в </w:t>
            </w:r>
            <w:proofErr w:type="spellStart"/>
            <w:r w:rsidRPr="00D36477">
              <w:rPr>
                <w:rFonts w:ascii="Times New Roman" w:hAnsi="Times New Roman" w:cs="Times New Roman"/>
                <w:sz w:val="24"/>
                <w:szCs w:val="24"/>
                <w:lang w:val="ru-RU"/>
              </w:rPr>
              <w:t>неденежной</w:t>
            </w:r>
            <w:proofErr w:type="spellEnd"/>
            <w:r w:rsidRPr="00D36477">
              <w:rPr>
                <w:rFonts w:ascii="Times New Roman" w:hAnsi="Times New Roman" w:cs="Times New Roman"/>
                <w:sz w:val="24"/>
                <w:szCs w:val="24"/>
                <w:lang w:val="ru-RU"/>
              </w:rPr>
              <w:t xml:space="preserve"> форме, определяемой решением Общего собрания акционеров Общества по предложению </w:t>
            </w:r>
            <w:proofErr w:type="spellStart"/>
            <w:r w:rsidRPr="00EF3FA5">
              <w:rPr>
                <w:rFonts w:ascii="Times New Roman" w:hAnsi="Times New Roman" w:cs="Times New Roman"/>
                <w:sz w:val="24"/>
                <w:szCs w:val="24"/>
              </w:rPr>
              <w:t>Совета</w:t>
            </w:r>
            <w:proofErr w:type="spellEnd"/>
            <w:r w:rsidRPr="00EF3FA5">
              <w:rPr>
                <w:rFonts w:ascii="Times New Roman" w:hAnsi="Times New Roman" w:cs="Times New Roman"/>
                <w:sz w:val="24"/>
                <w:szCs w:val="24"/>
              </w:rPr>
              <w:t xml:space="preserve"> </w:t>
            </w:r>
            <w:proofErr w:type="spellStart"/>
            <w:r w:rsidRPr="00EF3FA5">
              <w:rPr>
                <w:rFonts w:ascii="Times New Roman" w:hAnsi="Times New Roman" w:cs="Times New Roman"/>
                <w:sz w:val="24"/>
                <w:szCs w:val="24"/>
              </w:rPr>
              <w:t>директоров</w:t>
            </w:r>
            <w:proofErr w:type="spellEnd"/>
            <w:r w:rsidRPr="00EF3FA5">
              <w:rPr>
                <w:rFonts w:ascii="Times New Roman" w:hAnsi="Times New Roman" w:cs="Times New Roman"/>
                <w:sz w:val="24"/>
                <w:szCs w:val="24"/>
              </w:rPr>
              <w:t xml:space="preserve"> </w:t>
            </w:r>
            <w:proofErr w:type="spellStart"/>
            <w:r w:rsidRPr="00EF3FA5">
              <w:rPr>
                <w:rFonts w:ascii="Times New Roman" w:hAnsi="Times New Roman" w:cs="Times New Roman"/>
                <w:sz w:val="24"/>
                <w:szCs w:val="24"/>
              </w:rPr>
              <w:t>Общества</w:t>
            </w:r>
            <w:proofErr w:type="spellEnd"/>
            <w:r w:rsidRPr="00EF3FA5">
              <w:rPr>
                <w:rFonts w:ascii="Times New Roman" w:hAnsi="Times New Roman" w:cs="Times New Roman"/>
                <w:sz w:val="24"/>
                <w:szCs w:val="24"/>
              </w:rPr>
              <w:t>.</w:t>
            </w:r>
          </w:p>
          <w:p w:rsidR="00D36477" w:rsidRPr="00D36477" w:rsidRDefault="00D36477" w:rsidP="00D36477">
            <w:pPr>
              <w:numPr>
                <w:ilvl w:val="1"/>
                <w:numId w:val="2"/>
              </w:numPr>
              <w:autoSpaceDE w:val="0"/>
              <w:autoSpaceDN w:val="0"/>
              <w:adjustRightInd w:val="0"/>
              <w:spacing w:before="120" w:after="120"/>
              <w:ind w:left="142" w:firstLine="284"/>
              <w:contextualSpacing/>
              <w:jc w:val="both"/>
              <w:rPr>
                <w:rFonts w:ascii="Times New Roman" w:hAnsi="Times New Roman" w:cs="Times New Roman"/>
                <w:sz w:val="24"/>
                <w:szCs w:val="24"/>
                <w:lang w:val="ru-RU"/>
              </w:rPr>
            </w:pPr>
            <w:proofErr w:type="gramStart"/>
            <w:r w:rsidRPr="00D36477">
              <w:rPr>
                <w:rFonts w:ascii="Times New Roman" w:hAnsi="Times New Roman" w:cs="Times New Roman"/>
                <w:sz w:val="24"/>
                <w:szCs w:val="24"/>
                <w:lang w:val="ru-RU"/>
              </w:rPr>
              <w:t xml:space="preserve">Лица, не получившие объявленных дивидендов в связи с тем, что у Общества или регистратора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выплате таких дивидендов (невостребованные дивиденды) в течение 3 (трех) лет с даты принятия решения об их выплате. </w:t>
            </w:r>
            <w:proofErr w:type="gramEnd"/>
          </w:p>
          <w:p w:rsidR="00D36477" w:rsidRPr="00EF3FA5" w:rsidRDefault="00D36477" w:rsidP="00D36477">
            <w:pPr>
              <w:pStyle w:val="Default"/>
              <w:ind w:left="142" w:firstLine="284"/>
              <w:contextualSpacing/>
              <w:jc w:val="both"/>
            </w:pPr>
          </w:p>
          <w:p w:rsidR="00D36477" w:rsidRPr="00EF3FA5" w:rsidRDefault="00D36477" w:rsidP="00D36477">
            <w:pPr>
              <w:pStyle w:val="1"/>
              <w:numPr>
                <w:ilvl w:val="0"/>
                <w:numId w:val="2"/>
              </w:numPr>
              <w:ind w:left="142" w:firstLine="284"/>
              <w:contextualSpacing/>
              <w:outlineLvl w:val="0"/>
            </w:pPr>
            <w:bookmarkStart w:id="2" w:name="_Toc396864087"/>
            <w:r w:rsidRPr="00EF3FA5">
              <w:t>ОРГАНЫ УПРАВЛЕНИЯ ОБЩЕСТВА</w:t>
            </w:r>
            <w:bookmarkEnd w:id="2"/>
          </w:p>
          <w:p w:rsidR="00D36477" w:rsidRPr="00EF3FA5" w:rsidRDefault="00D36477" w:rsidP="00D36477">
            <w:pPr>
              <w:numPr>
                <w:ilvl w:val="1"/>
                <w:numId w:val="2"/>
              </w:numPr>
              <w:autoSpaceDE w:val="0"/>
              <w:autoSpaceDN w:val="0"/>
              <w:adjustRightInd w:val="0"/>
              <w:spacing w:before="120" w:after="120"/>
              <w:ind w:left="142" w:firstLine="284"/>
              <w:contextualSpacing/>
              <w:jc w:val="both"/>
              <w:rPr>
                <w:rFonts w:ascii="Times New Roman" w:hAnsi="Times New Roman" w:cs="Times New Roman"/>
                <w:sz w:val="24"/>
                <w:szCs w:val="24"/>
              </w:rPr>
            </w:pPr>
            <w:proofErr w:type="spellStart"/>
            <w:r w:rsidRPr="00EF3FA5">
              <w:rPr>
                <w:rFonts w:ascii="Times New Roman" w:hAnsi="Times New Roman" w:cs="Times New Roman"/>
                <w:sz w:val="24"/>
                <w:szCs w:val="24"/>
              </w:rPr>
              <w:t>Органами</w:t>
            </w:r>
            <w:proofErr w:type="spellEnd"/>
            <w:r w:rsidRPr="00EF3FA5">
              <w:rPr>
                <w:rFonts w:ascii="Times New Roman" w:hAnsi="Times New Roman" w:cs="Times New Roman"/>
                <w:sz w:val="24"/>
                <w:szCs w:val="24"/>
              </w:rPr>
              <w:t xml:space="preserve"> </w:t>
            </w:r>
            <w:proofErr w:type="spellStart"/>
            <w:r w:rsidRPr="00EF3FA5">
              <w:rPr>
                <w:rFonts w:ascii="Times New Roman" w:hAnsi="Times New Roman" w:cs="Times New Roman"/>
                <w:sz w:val="24"/>
                <w:szCs w:val="24"/>
              </w:rPr>
              <w:t>управления</w:t>
            </w:r>
            <w:proofErr w:type="spellEnd"/>
            <w:r w:rsidRPr="00EF3FA5">
              <w:rPr>
                <w:rFonts w:ascii="Times New Roman" w:hAnsi="Times New Roman" w:cs="Times New Roman"/>
                <w:sz w:val="24"/>
                <w:szCs w:val="24"/>
              </w:rPr>
              <w:t xml:space="preserve"> </w:t>
            </w:r>
            <w:proofErr w:type="spellStart"/>
            <w:r w:rsidRPr="00EF3FA5">
              <w:rPr>
                <w:rFonts w:ascii="Times New Roman" w:hAnsi="Times New Roman" w:cs="Times New Roman"/>
                <w:sz w:val="24"/>
                <w:szCs w:val="24"/>
              </w:rPr>
              <w:t>Общества</w:t>
            </w:r>
            <w:proofErr w:type="spellEnd"/>
            <w:r w:rsidRPr="00EF3FA5">
              <w:rPr>
                <w:rFonts w:ascii="Times New Roman" w:hAnsi="Times New Roman" w:cs="Times New Roman"/>
                <w:sz w:val="24"/>
                <w:szCs w:val="24"/>
              </w:rPr>
              <w:t xml:space="preserve"> </w:t>
            </w:r>
            <w:proofErr w:type="spellStart"/>
            <w:r w:rsidRPr="00EF3FA5">
              <w:rPr>
                <w:rFonts w:ascii="Times New Roman" w:hAnsi="Times New Roman" w:cs="Times New Roman"/>
                <w:sz w:val="24"/>
                <w:szCs w:val="24"/>
              </w:rPr>
              <w:t>являются</w:t>
            </w:r>
            <w:proofErr w:type="spellEnd"/>
            <w:r w:rsidRPr="00EF3FA5">
              <w:rPr>
                <w:rFonts w:ascii="Times New Roman" w:hAnsi="Times New Roman" w:cs="Times New Roman"/>
                <w:sz w:val="24"/>
                <w:szCs w:val="24"/>
              </w:rPr>
              <w:t>:</w:t>
            </w:r>
          </w:p>
          <w:p w:rsidR="00D36477" w:rsidRPr="00EF3FA5" w:rsidRDefault="00D36477" w:rsidP="00D36477">
            <w:pPr>
              <w:pStyle w:val="6"/>
              <w:numPr>
                <w:ilvl w:val="0"/>
                <w:numId w:val="3"/>
              </w:numPr>
              <w:ind w:left="142" w:firstLine="284"/>
              <w:contextualSpacing/>
              <w:outlineLvl w:val="5"/>
              <w:rPr>
                <w:szCs w:val="24"/>
              </w:rPr>
            </w:pPr>
            <w:proofErr w:type="spellStart"/>
            <w:r w:rsidRPr="00EF3FA5">
              <w:rPr>
                <w:szCs w:val="24"/>
              </w:rPr>
              <w:t>Общее</w:t>
            </w:r>
            <w:proofErr w:type="spellEnd"/>
            <w:r w:rsidRPr="00EF3FA5">
              <w:rPr>
                <w:szCs w:val="24"/>
              </w:rPr>
              <w:t xml:space="preserve"> </w:t>
            </w:r>
            <w:proofErr w:type="spellStart"/>
            <w:r w:rsidRPr="00EF3FA5">
              <w:rPr>
                <w:szCs w:val="24"/>
              </w:rPr>
              <w:t>собрание</w:t>
            </w:r>
            <w:proofErr w:type="spellEnd"/>
            <w:r w:rsidRPr="00EF3FA5">
              <w:rPr>
                <w:szCs w:val="24"/>
              </w:rPr>
              <w:t xml:space="preserve"> </w:t>
            </w:r>
            <w:proofErr w:type="spellStart"/>
            <w:r w:rsidRPr="00EF3FA5">
              <w:rPr>
                <w:szCs w:val="24"/>
              </w:rPr>
              <w:t>акционеров</w:t>
            </w:r>
            <w:proofErr w:type="spellEnd"/>
            <w:r w:rsidRPr="00EF3FA5">
              <w:rPr>
                <w:szCs w:val="24"/>
              </w:rPr>
              <w:t>;</w:t>
            </w:r>
          </w:p>
          <w:p w:rsidR="00D36477" w:rsidRPr="00EF3FA5" w:rsidRDefault="00D36477" w:rsidP="00D36477">
            <w:pPr>
              <w:pStyle w:val="6"/>
              <w:numPr>
                <w:ilvl w:val="0"/>
                <w:numId w:val="3"/>
              </w:numPr>
              <w:ind w:left="142" w:firstLine="284"/>
              <w:contextualSpacing/>
              <w:outlineLvl w:val="5"/>
              <w:rPr>
                <w:szCs w:val="24"/>
              </w:rPr>
            </w:pPr>
            <w:proofErr w:type="spellStart"/>
            <w:r w:rsidRPr="00EF3FA5">
              <w:rPr>
                <w:szCs w:val="24"/>
              </w:rPr>
              <w:t>Совет</w:t>
            </w:r>
            <w:proofErr w:type="spellEnd"/>
            <w:r w:rsidRPr="00EF3FA5">
              <w:rPr>
                <w:szCs w:val="24"/>
              </w:rPr>
              <w:t xml:space="preserve"> </w:t>
            </w:r>
            <w:proofErr w:type="spellStart"/>
            <w:r w:rsidRPr="00EF3FA5">
              <w:rPr>
                <w:szCs w:val="24"/>
              </w:rPr>
              <w:t>директоров</w:t>
            </w:r>
            <w:proofErr w:type="spellEnd"/>
            <w:r w:rsidRPr="00EF3FA5">
              <w:rPr>
                <w:szCs w:val="24"/>
              </w:rPr>
              <w:t>;</w:t>
            </w:r>
          </w:p>
          <w:p w:rsidR="00D36477" w:rsidRPr="00EF3FA5" w:rsidRDefault="00D36477" w:rsidP="00D36477">
            <w:pPr>
              <w:pStyle w:val="6"/>
              <w:numPr>
                <w:ilvl w:val="0"/>
                <w:numId w:val="3"/>
              </w:numPr>
              <w:ind w:left="142" w:firstLine="284"/>
              <w:contextualSpacing/>
              <w:outlineLvl w:val="5"/>
              <w:rPr>
                <w:szCs w:val="24"/>
                <w:lang w:val="ru-RU"/>
              </w:rPr>
            </w:pPr>
            <w:r w:rsidRPr="00EF3FA5">
              <w:rPr>
                <w:szCs w:val="24"/>
                <w:lang w:val="ru-RU"/>
              </w:rPr>
              <w:t>Генеральный директор – единоличный исполнительный орган.</w:t>
            </w:r>
          </w:p>
          <w:p w:rsidR="00D36477" w:rsidRPr="00D36477" w:rsidRDefault="00D36477" w:rsidP="00D36477">
            <w:pPr>
              <w:numPr>
                <w:ilvl w:val="1"/>
                <w:numId w:val="2"/>
              </w:numPr>
              <w:autoSpaceDE w:val="0"/>
              <w:autoSpaceDN w:val="0"/>
              <w:adjustRightInd w:val="0"/>
              <w:spacing w:before="120" w:after="120"/>
              <w:ind w:left="142" w:firstLine="284"/>
              <w:contextualSpacing/>
              <w:jc w:val="both"/>
              <w:rPr>
                <w:rFonts w:ascii="Times New Roman" w:hAnsi="Times New Roman" w:cs="Times New Roman"/>
                <w:sz w:val="24"/>
                <w:szCs w:val="24"/>
                <w:lang w:val="ru-RU"/>
              </w:rPr>
            </w:pPr>
            <w:r w:rsidRPr="00D36477">
              <w:rPr>
                <w:rFonts w:ascii="Times New Roman" w:hAnsi="Times New Roman" w:cs="Times New Roman"/>
                <w:sz w:val="24"/>
                <w:szCs w:val="24"/>
                <w:lang w:val="ru-RU"/>
              </w:rPr>
              <w:t>В случае назначения ликвидационной комиссии (ликвидатора) Общества к ней переходят все полномочия по управлению делами Общества.</w:t>
            </w:r>
          </w:p>
          <w:p w:rsidR="00D36477" w:rsidRDefault="00D36477" w:rsidP="00D36477">
            <w:pPr>
              <w:contextualSpacing/>
              <w:jc w:val="both"/>
              <w:rPr>
                <w:rFonts w:ascii="Times New Roman" w:hAnsi="Times New Roman" w:cs="Times New Roman"/>
                <w:sz w:val="24"/>
                <w:szCs w:val="24"/>
                <w:lang w:val="ru-RU"/>
              </w:rPr>
            </w:pPr>
          </w:p>
          <w:p w:rsidR="00D36477" w:rsidRPr="00D36477" w:rsidRDefault="00D36477" w:rsidP="00D36477">
            <w:pPr>
              <w:contextualSpacing/>
              <w:jc w:val="both"/>
              <w:rPr>
                <w:rFonts w:ascii="Times New Roman" w:hAnsi="Times New Roman" w:cs="Times New Roman"/>
                <w:sz w:val="24"/>
                <w:szCs w:val="24"/>
                <w:lang w:val="ru-RU"/>
              </w:rPr>
            </w:pPr>
          </w:p>
        </w:tc>
        <w:tc>
          <w:tcPr>
            <w:tcW w:w="4786" w:type="dxa"/>
          </w:tcPr>
          <w:p w:rsidR="00D36477" w:rsidRPr="00EF3FA5" w:rsidRDefault="00D36477" w:rsidP="00D36477">
            <w:pPr>
              <w:pStyle w:val="1"/>
              <w:numPr>
                <w:ilvl w:val="0"/>
                <w:numId w:val="4"/>
              </w:numPr>
              <w:contextualSpacing/>
              <w:outlineLvl w:val="0"/>
            </w:pPr>
            <w:r>
              <w:rPr>
                <w:lang w:val="es-ES"/>
              </w:rPr>
              <w:lastRenderedPageBreak/>
              <w:t>FONDOS DE LA SOCIEDAD</w:t>
            </w:r>
          </w:p>
          <w:p w:rsidR="00D36477" w:rsidRPr="00A24C91" w:rsidRDefault="00D36477" w:rsidP="00D36477">
            <w:pPr>
              <w:numPr>
                <w:ilvl w:val="1"/>
                <w:numId w:val="4"/>
              </w:numPr>
              <w:autoSpaceDE w:val="0"/>
              <w:autoSpaceDN w:val="0"/>
              <w:adjustRightInd w:val="0"/>
              <w:spacing w:before="120" w:after="120"/>
              <w:ind w:left="177" w:firstLine="283"/>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En</w:t>
            </w:r>
            <w:r w:rsidRPr="00A24C91">
              <w:rPr>
                <w:rFonts w:ascii="Times New Roman" w:hAnsi="Times New Roman" w:cs="Times New Roman"/>
                <w:sz w:val="24"/>
                <w:szCs w:val="24"/>
                <w:lang w:val="es-ES"/>
              </w:rPr>
              <w:t xml:space="preserve"> </w:t>
            </w:r>
            <w:r>
              <w:rPr>
                <w:rFonts w:ascii="Times New Roman" w:hAnsi="Times New Roman" w:cs="Times New Roman"/>
                <w:sz w:val="24"/>
                <w:szCs w:val="24"/>
                <w:lang w:val="es-ES"/>
              </w:rPr>
              <w:t>la</w:t>
            </w:r>
            <w:r w:rsidRPr="00A24C91">
              <w:rPr>
                <w:rFonts w:ascii="Times New Roman" w:hAnsi="Times New Roman" w:cs="Times New Roman"/>
                <w:sz w:val="24"/>
                <w:szCs w:val="24"/>
                <w:lang w:val="es-ES"/>
              </w:rPr>
              <w:t xml:space="preserve"> </w:t>
            </w:r>
            <w:r>
              <w:rPr>
                <w:rFonts w:ascii="Times New Roman" w:hAnsi="Times New Roman" w:cs="Times New Roman"/>
                <w:sz w:val="24"/>
                <w:szCs w:val="24"/>
                <w:lang w:val="es-ES"/>
              </w:rPr>
              <w:t>Sociedad</w:t>
            </w:r>
            <w:r w:rsidRPr="00A24C91">
              <w:rPr>
                <w:rFonts w:ascii="Times New Roman" w:hAnsi="Times New Roman" w:cs="Times New Roman"/>
                <w:sz w:val="24"/>
                <w:szCs w:val="24"/>
                <w:lang w:val="es-ES"/>
              </w:rPr>
              <w:t xml:space="preserve"> </w:t>
            </w:r>
            <w:r>
              <w:rPr>
                <w:rFonts w:ascii="Times New Roman" w:hAnsi="Times New Roman" w:cs="Times New Roman"/>
                <w:sz w:val="24"/>
                <w:szCs w:val="24"/>
                <w:lang w:val="es-ES"/>
              </w:rPr>
              <w:t>se</w:t>
            </w:r>
            <w:r w:rsidRPr="00A24C91">
              <w:rPr>
                <w:rFonts w:ascii="Times New Roman" w:hAnsi="Times New Roman" w:cs="Times New Roman"/>
                <w:sz w:val="24"/>
                <w:szCs w:val="24"/>
                <w:lang w:val="es-ES"/>
              </w:rPr>
              <w:t xml:space="preserve"> </w:t>
            </w:r>
            <w:r>
              <w:rPr>
                <w:rFonts w:ascii="Times New Roman" w:hAnsi="Times New Roman" w:cs="Times New Roman"/>
                <w:sz w:val="24"/>
                <w:szCs w:val="24"/>
                <w:lang w:val="es-ES"/>
              </w:rPr>
              <w:t>establece</w:t>
            </w:r>
            <w:r w:rsidRPr="00A24C91">
              <w:rPr>
                <w:rFonts w:ascii="Times New Roman" w:hAnsi="Times New Roman" w:cs="Times New Roman"/>
                <w:sz w:val="24"/>
                <w:szCs w:val="24"/>
                <w:lang w:val="es-ES"/>
              </w:rPr>
              <w:t xml:space="preserve"> </w:t>
            </w:r>
            <w:r>
              <w:rPr>
                <w:rFonts w:ascii="Times New Roman" w:hAnsi="Times New Roman" w:cs="Times New Roman"/>
                <w:sz w:val="24"/>
                <w:szCs w:val="24"/>
                <w:lang w:val="es-ES"/>
              </w:rPr>
              <w:t>el</w:t>
            </w:r>
            <w:r w:rsidRPr="00A24C91">
              <w:rPr>
                <w:rFonts w:ascii="Times New Roman" w:hAnsi="Times New Roman" w:cs="Times New Roman"/>
                <w:sz w:val="24"/>
                <w:szCs w:val="24"/>
                <w:lang w:val="es-ES"/>
              </w:rPr>
              <w:t xml:space="preserve"> </w:t>
            </w:r>
            <w:r>
              <w:rPr>
                <w:rFonts w:ascii="Times New Roman" w:hAnsi="Times New Roman" w:cs="Times New Roman"/>
                <w:sz w:val="24"/>
                <w:szCs w:val="24"/>
                <w:lang w:val="es-ES"/>
              </w:rPr>
              <w:t>fondo</w:t>
            </w:r>
            <w:r w:rsidRPr="00A24C91">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Pr="00A24C91">
              <w:rPr>
                <w:rFonts w:ascii="Times New Roman" w:hAnsi="Times New Roman" w:cs="Times New Roman"/>
                <w:sz w:val="24"/>
                <w:szCs w:val="24"/>
                <w:lang w:val="es-ES"/>
              </w:rPr>
              <w:t xml:space="preserve"> </w:t>
            </w:r>
            <w:r>
              <w:rPr>
                <w:rFonts w:ascii="Times New Roman" w:hAnsi="Times New Roman" w:cs="Times New Roman"/>
                <w:sz w:val="24"/>
                <w:szCs w:val="24"/>
                <w:lang w:val="es-ES"/>
              </w:rPr>
              <w:t>reserva</w:t>
            </w:r>
            <w:r w:rsidRPr="00A24C91">
              <w:rPr>
                <w:rFonts w:ascii="Times New Roman" w:hAnsi="Times New Roman" w:cs="Times New Roman"/>
                <w:sz w:val="24"/>
                <w:szCs w:val="24"/>
                <w:lang w:val="es-ES"/>
              </w:rPr>
              <w:t xml:space="preserve"> </w:t>
            </w:r>
            <w:r>
              <w:rPr>
                <w:rFonts w:ascii="Times New Roman" w:hAnsi="Times New Roman" w:cs="Times New Roman"/>
                <w:sz w:val="24"/>
                <w:szCs w:val="24"/>
                <w:lang w:val="es-ES"/>
              </w:rPr>
              <w:t>en una cantidad del 25 (veinticinco) por ciento del capital estatutario de la Sociedad.</w:t>
            </w:r>
          </w:p>
          <w:p w:rsidR="00D36477" w:rsidRPr="00266670" w:rsidRDefault="00D36477" w:rsidP="00D36477">
            <w:pPr>
              <w:pStyle w:val="a4"/>
              <w:numPr>
                <w:ilvl w:val="2"/>
                <w:numId w:val="4"/>
              </w:numPr>
              <w:tabs>
                <w:tab w:val="left" w:pos="1560"/>
              </w:tabs>
              <w:suppressAutoHyphens w:val="0"/>
              <w:autoSpaceDE w:val="0"/>
              <w:autoSpaceDN w:val="0"/>
              <w:adjustRightInd w:val="0"/>
              <w:spacing w:after="120"/>
              <w:ind w:left="177" w:firstLine="283"/>
              <w:contextualSpacing/>
              <w:rPr>
                <w:rFonts w:ascii="Times New Roman" w:hAnsi="Times New Roman" w:cs="Times New Roman"/>
                <w:sz w:val="24"/>
                <w:szCs w:val="24"/>
                <w:lang w:val="es-ES"/>
              </w:rPr>
            </w:pPr>
            <w:r>
              <w:rPr>
                <w:rFonts w:ascii="Times New Roman" w:hAnsi="Times New Roman" w:cs="Times New Roman"/>
                <w:sz w:val="24"/>
                <w:szCs w:val="24"/>
                <w:lang w:val="es-ES"/>
              </w:rPr>
              <w:t xml:space="preserve">El importe de las deducciones anuales al fondo de reserva de la Sociedad será el 5 (cinco) por ciento de la ganancia neta de la Sociedad. Tales pagos se efectuarán hasta que el fondo de reserva alcance la dimensión, prevista por el presente Estatuto. </w:t>
            </w:r>
          </w:p>
          <w:p w:rsidR="00D36477" w:rsidRPr="00B62055" w:rsidRDefault="00D36477" w:rsidP="00D36477">
            <w:pPr>
              <w:pStyle w:val="a4"/>
              <w:numPr>
                <w:ilvl w:val="2"/>
                <w:numId w:val="4"/>
              </w:numPr>
              <w:tabs>
                <w:tab w:val="left" w:pos="1560"/>
              </w:tabs>
              <w:suppressAutoHyphens w:val="0"/>
              <w:autoSpaceDE w:val="0"/>
              <w:autoSpaceDN w:val="0"/>
              <w:adjustRightInd w:val="0"/>
              <w:spacing w:after="120"/>
              <w:ind w:left="177" w:firstLine="283"/>
              <w:contextualSpacing/>
              <w:rPr>
                <w:rFonts w:ascii="Times New Roman" w:hAnsi="Times New Roman" w:cs="Times New Roman"/>
                <w:sz w:val="24"/>
                <w:szCs w:val="24"/>
                <w:lang w:val="es-ES"/>
              </w:rPr>
            </w:pPr>
            <w:r>
              <w:rPr>
                <w:rFonts w:ascii="Times New Roman" w:hAnsi="Times New Roman" w:cs="Times New Roman"/>
                <w:sz w:val="24"/>
                <w:szCs w:val="24"/>
                <w:lang w:val="es-ES"/>
              </w:rPr>
              <w:t>El</w:t>
            </w:r>
            <w:r w:rsidRPr="00B62055">
              <w:rPr>
                <w:rFonts w:ascii="Times New Roman" w:hAnsi="Times New Roman" w:cs="Times New Roman"/>
                <w:sz w:val="24"/>
                <w:szCs w:val="24"/>
                <w:lang w:val="es-ES"/>
              </w:rPr>
              <w:t xml:space="preserve"> </w:t>
            </w:r>
            <w:r>
              <w:rPr>
                <w:rFonts w:ascii="Times New Roman" w:hAnsi="Times New Roman" w:cs="Times New Roman"/>
                <w:sz w:val="24"/>
                <w:szCs w:val="24"/>
                <w:lang w:val="es-ES"/>
              </w:rPr>
              <w:t>fondo</w:t>
            </w:r>
            <w:r w:rsidRPr="00B62055">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Pr="00B62055">
              <w:rPr>
                <w:rFonts w:ascii="Times New Roman" w:hAnsi="Times New Roman" w:cs="Times New Roman"/>
                <w:sz w:val="24"/>
                <w:szCs w:val="24"/>
                <w:lang w:val="es-ES"/>
              </w:rPr>
              <w:t xml:space="preserve"> </w:t>
            </w:r>
            <w:r>
              <w:rPr>
                <w:rFonts w:ascii="Times New Roman" w:hAnsi="Times New Roman" w:cs="Times New Roman"/>
                <w:sz w:val="24"/>
                <w:szCs w:val="24"/>
                <w:lang w:val="es-ES"/>
              </w:rPr>
              <w:t>reserva</w:t>
            </w:r>
            <w:r w:rsidRPr="00B62055">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Pr="00B62055">
              <w:rPr>
                <w:rFonts w:ascii="Times New Roman" w:hAnsi="Times New Roman" w:cs="Times New Roman"/>
                <w:sz w:val="24"/>
                <w:szCs w:val="24"/>
                <w:lang w:val="es-ES"/>
              </w:rPr>
              <w:t xml:space="preserve"> </w:t>
            </w:r>
            <w:r>
              <w:rPr>
                <w:rFonts w:ascii="Times New Roman" w:hAnsi="Times New Roman" w:cs="Times New Roman"/>
                <w:sz w:val="24"/>
                <w:szCs w:val="24"/>
                <w:lang w:val="es-ES"/>
              </w:rPr>
              <w:t>la</w:t>
            </w:r>
            <w:r w:rsidRPr="00B62055">
              <w:rPr>
                <w:rFonts w:ascii="Times New Roman" w:hAnsi="Times New Roman" w:cs="Times New Roman"/>
                <w:sz w:val="24"/>
                <w:szCs w:val="24"/>
                <w:lang w:val="es-ES"/>
              </w:rPr>
              <w:t xml:space="preserve"> </w:t>
            </w:r>
            <w:r>
              <w:rPr>
                <w:rFonts w:ascii="Times New Roman" w:hAnsi="Times New Roman" w:cs="Times New Roman"/>
                <w:sz w:val="24"/>
                <w:szCs w:val="24"/>
                <w:lang w:val="es-ES"/>
              </w:rPr>
              <w:t>Sociedad</w:t>
            </w:r>
            <w:r w:rsidRPr="00B6205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está destinado a cubrir sus pérdidas, así como amortizar las obligaciones de la Sociedad y recomprar las acciones de la Sociedad en caso de ausencia de otros fondos. </w:t>
            </w:r>
          </w:p>
          <w:p w:rsidR="00D36477" w:rsidRPr="00B62055" w:rsidRDefault="00D36477" w:rsidP="00D36477">
            <w:pPr>
              <w:pStyle w:val="a4"/>
              <w:numPr>
                <w:ilvl w:val="2"/>
                <w:numId w:val="4"/>
              </w:numPr>
              <w:tabs>
                <w:tab w:val="left" w:pos="1560"/>
              </w:tabs>
              <w:suppressAutoHyphens w:val="0"/>
              <w:autoSpaceDE w:val="0"/>
              <w:autoSpaceDN w:val="0"/>
              <w:adjustRightInd w:val="0"/>
              <w:spacing w:after="120"/>
              <w:ind w:left="177" w:firstLine="283"/>
              <w:contextualSpacing/>
              <w:rPr>
                <w:rFonts w:ascii="Times New Roman" w:hAnsi="Times New Roman" w:cs="Times New Roman"/>
                <w:sz w:val="24"/>
                <w:szCs w:val="24"/>
                <w:lang w:val="es-ES"/>
              </w:rPr>
            </w:pPr>
            <w:r>
              <w:rPr>
                <w:rFonts w:ascii="Times New Roman" w:hAnsi="Times New Roman" w:cs="Times New Roman"/>
                <w:sz w:val="24"/>
                <w:szCs w:val="24"/>
                <w:lang w:val="es-ES"/>
              </w:rPr>
              <w:t xml:space="preserve">El fondo de reserva no puede utilizarse para otos fines. </w:t>
            </w:r>
          </w:p>
          <w:p w:rsidR="00D36477" w:rsidRPr="00B62055" w:rsidRDefault="00D36477" w:rsidP="00D36477">
            <w:pPr>
              <w:numPr>
                <w:ilvl w:val="1"/>
                <w:numId w:val="4"/>
              </w:numPr>
              <w:autoSpaceDE w:val="0"/>
              <w:autoSpaceDN w:val="0"/>
              <w:adjustRightInd w:val="0"/>
              <w:spacing w:before="120" w:after="120"/>
              <w:ind w:left="177" w:firstLine="283"/>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ganancia neta de la Sociedad puede formar un fondo especial de reorganización en equidad para los empleados de la Sociedad.  </w:t>
            </w:r>
          </w:p>
          <w:p w:rsidR="00D36477" w:rsidRPr="00B62055" w:rsidRDefault="00D36477" w:rsidP="00D36477">
            <w:pPr>
              <w:pStyle w:val="a4"/>
              <w:numPr>
                <w:ilvl w:val="2"/>
                <w:numId w:val="4"/>
              </w:numPr>
              <w:tabs>
                <w:tab w:val="left" w:pos="1560"/>
              </w:tabs>
              <w:suppressAutoHyphens w:val="0"/>
              <w:autoSpaceDE w:val="0"/>
              <w:autoSpaceDN w:val="0"/>
              <w:adjustRightInd w:val="0"/>
              <w:spacing w:after="120"/>
              <w:ind w:left="177" w:firstLine="283"/>
              <w:contextualSpacing/>
              <w:rPr>
                <w:rFonts w:ascii="Times New Roman" w:hAnsi="Times New Roman" w:cs="Times New Roman"/>
                <w:sz w:val="24"/>
                <w:szCs w:val="24"/>
                <w:lang w:val="es-ES"/>
              </w:rPr>
            </w:pPr>
            <w:r>
              <w:rPr>
                <w:rFonts w:ascii="Times New Roman" w:hAnsi="Times New Roman" w:cs="Times New Roman"/>
                <w:sz w:val="24"/>
                <w:szCs w:val="24"/>
                <w:lang w:val="es-ES"/>
              </w:rPr>
              <w:t xml:space="preserve">Los medios del fondo de reorganización en equidad se gastan exclusivamente para adquirir las acciones de la Sociedad, vendidas por los acccionistas, para la colocación posterior para los empleados de la Sociedad. </w:t>
            </w:r>
          </w:p>
          <w:p w:rsidR="00D36477" w:rsidRPr="00882D53" w:rsidRDefault="00D36477" w:rsidP="00D36477">
            <w:pPr>
              <w:pStyle w:val="a4"/>
              <w:numPr>
                <w:ilvl w:val="2"/>
                <w:numId w:val="4"/>
              </w:numPr>
              <w:tabs>
                <w:tab w:val="left" w:pos="1560"/>
              </w:tabs>
              <w:suppressAutoHyphens w:val="0"/>
              <w:autoSpaceDE w:val="0"/>
              <w:autoSpaceDN w:val="0"/>
              <w:adjustRightInd w:val="0"/>
              <w:spacing w:after="120"/>
              <w:ind w:left="177" w:firstLine="283"/>
              <w:contextualSpacing/>
              <w:rPr>
                <w:rFonts w:ascii="Times New Roman" w:hAnsi="Times New Roman" w:cs="Times New Roman"/>
                <w:sz w:val="24"/>
                <w:szCs w:val="24"/>
                <w:lang w:val="es-ES"/>
              </w:rPr>
            </w:pPr>
            <w:r>
              <w:rPr>
                <w:rFonts w:ascii="Times New Roman" w:hAnsi="Times New Roman" w:cs="Times New Roman"/>
                <w:sz w:val="24"/>
                <w:szCs w:val="24"/>
                <w:lang w:val="es-ES"/>
              </w:rPr>
              <w:t>En caso de venta remunerativa a los empleados de la Sociedad de las acciones, adquiridas por cuenta de medios del fondo</w:t>
            </w:r>
            <w:r w:rsidRPr="00882D5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de reorganización en equidad para los empleados de la Sociedad, los fondos ganados se dirigen a la formación del fondo mencionado. </w:t>
            </w:r>
          </w:p>
          <w:p w:rsidR="00D36477" w:rsidRPr="00882D53" w:rsidRDefault="00D36477" w:rsidP="00D36477">
            <w:pPr>
              <w:numPr>
                <w:ilvl w:val="1"/>
                <w:numId w:val="4"/>
              </w:numPr>
              <w:autoSpaceDE w:val="0"/>
              <w:autoSpaceDN w:val="0"/>
              <w:adjustRightInd w:val="0"/>
              <w:spacing w:before="120" w:after="120"/>
              <w:ind w:left="177" w:firstLine="283"/>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la decisión del Consejo de administración, la Sociedad tiene derecho a establecer otros fondos. La composición, la </w:t>
            </w:r>
            <w:r>
              <w:rPr>
                <w:rFonts w:ascii="Times New Roman" w:hAnsi="Times New Roman" w:cs="Times New Roman"/>
                <w:sz w:val="24"/>
                <w:szCs w:val="24"/>
                <w:lang w:val="es-ES_tradnl"/>
              </w:rPr>
              <w:t xml:space="preserve">destinación, las fuentes de formación y el procedimiento para el uso de cada fondo serán determinados por el Consejo de administración de la Sociedad. </w:t>
            </w:r>
          </w:p>
          <w:p w:rsidR="00D36477" w:rsidRPr="00D36477" w:rsidRDefault="00D36477" w:rsidP="00D36477">
            <w:pPr>
              <w:pStyle w:val="Default"/>
              <w:contextualSpacing/>
              <w:jc w:val="both"/>
            </w:pPr>
          </w:p>
          <w:p w:rsidR="00D36477" w:rsidRPr="00EF3FA5" w:rsidRDefault="00D36477" w:rsidP="00D36477">
            <w:pPr>
              <w:pStyle w:val="1"/>
              <w:numPr>
                <w:ilvl w:val="0"/>
                <w:numId w:val="4"/>
              </w:numPr>
              <w:ind w:left="177" w:firstLine="283"/>
              <w:contextualSpacing/>
              <w:outlineLvl w:val="0"/>
            </w:pPr>
            <w:r>
              <w:rPr>
                <w:lang w:val="es-ES"/>
              </w:rPr>
              <w:t>DIVIDENDOS</w:t>
            </w:r>
          </w:p>
          <w:p w:rsidR="00D36477" w:rsidRPr="00D36477" w:rsidRDefault="00D36477" w:rsidP="00D36477">
            <w:pPr>
              <w:numPr>
                <w:ilvl w:val="1"/>
                <w:numId w:val="4"/>
              </w:numPr>
              <w:autoSpaceDE w:val="0"/>
              <w:autoSpaceDN w:val="0"/>
              <w:adjustRightInd w:val="0"/>
              <w:spacing w:before="120" w:after="120"/>
              <w:ind w:left="177" w:firstLine="283"/>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dividendos se pagan de la ganancia de la Sociedad, determinada de </w:t>
            </w:r>
            <w:r>
              <w:rPr>
                <w:rFonts w:ascii="Times New Roman" w:hAnsi="Times New Roman" w:cs="Times New Roman"/>
                <w:sz w:val="24"/>
                <w:szCs w:val="24"/>
                <w:lang w:val="es-ES"/>
              </w:rPr>
              <w:lastRenderedPageBreak/>
              <w:t xml:space="preserve">conformidad con los requerimientos, establecidos por la legislación vigente. </w:t>
            </w:r>
          </w:p>
          <w:p w:rsidR="00D36477" w:rsidRPr="00C2133E" w:rsidRDefault="00D36477" w:rsidP="00D36477">
            <w:pPr>
              <w:autoSpaceDE w:val="0"/>
              <w:autoSpaceDN w:val="0"/>
              <w:adjustRightInd w:val="0"/>
              <w:spacing w:before="120" w:after="120"/>
              <w:ind w:left="460"/>
              <w:contextualSpacing/>
              <w:jc w:val="both"/>
              <w:rPr>
                <w:rFonts w:ascii="Times New Roman" w:hAnsi="Times New Roman" w:cs="Times New Roman"/>
                <w:sz w:val="24"/>
                <w:szCs w:val="24"/>
                <w:lang w:val="es-ES"/>
              </w:rPr>
            </w:pPr>
          </w:p>
          <w:p w:rsidR="00D36477" w:rsidRPr="00D36477" w:rsidRDefault="00D36477" w:rsidP="00D36477">
            <w:pPr>
              <w:numPr>
                <w:ilvl w:val="1"/>
                <w:numId w:val="4"/>
              </w:numPr>
              <w:autoSpaceDE w:val="0"/>
              <w:autoSpaceDN w:val="0"/>
              <w:adjustRightInd w:val="0"/>
              <w:spacing w:before="120" w:after="120"/>
              <w:ind w:left="177" w:firstLine="283"/>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Sociedad tiene derecho a tomar decisiones (declarar) sobre el pago de dividendos de las acciones colocadas de acuerdo con la legislación vigente de la Federación Rusa y el presente Estatuto. </w:t>
            </w:r>
          </w:p>
          <w:p w:rsidR="00D36477" w:rsidRPr="00C2133E" w:rsidRDefault="00D36477" w:rsidP="00D36477">
            <w:pPr>
              <w:autoSpaceDE w:val="0"/>
              <w:autoSpaceDN w:val="0"/>
              <w:adjustRightInd w:val="0"/>
              <w:spacing w:before="120" w:after="120"/>
              <w:contextualSpacing/>
              <w:jc w:val="both"/>
              <w:rPr>
                <w:rFonts w:ascii="Times New Roman" w:hAnsi="Times New Roman" w:cs="Times New Roman"/>
                <w:sz w:val="24"/>
                <w:szCs w:val="24"/>
                <w:lang w:val="es-ES"/>
              </w:rPr>
            </w:pPr>
          </w:p>
          <w:p w:rsidR="00D36477" w:rsidRPr="00FA5044" w:rsidRDefault="00D36477" w:rsidP="00D36477">
            <w:pPr>
              <w:numPr>
                <w:ilvl w:val="1"/>
                <w:numId w:val="4"/>
              </w:numPr>
              <w:autoSpaceDE w:val="0"/>
              <w:autoSpaceDN w:val="0"/>
              <w:adjustRightInd w:val="0"/>
              <w:spacing w:before="120" w:after="120"/>
              <w:ind w:left="177" w:firstLine="283"/>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dividendos se pagan en forma monetaria. Según la decisión de la Junta General de Accionistas de la Sociedad, los dividendos pueden pagarse en forma no monetaria, determinada por la decisión de la Junta General de Accionistas de la Sociedad a propuesta del Consejo de administración de la Sociedad. </w:t>
            </w:r>
          </w:p>
          <w:p w:rsidR="00D36477" w:rsidRPr="002E3359" w:rsidRDefault="00D36477" w:rsidP="00D36477">
            <w:pPr>
              <w:numPr>
                <w:ilvl w:val="1"/>
                <w:numId w:val="4"/>
              </w:numPr>
              <w:autoSpaceDE w:val="0"/>
              <w:autoSpaceDN w:val="0"/>
              <w:adjustRightInd w:val="0"/>
              <w:spacing w:before="120" w:after="120"/>
              <w:ind w:left="177" w:firstLine="283"/>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personas, quienes no han recibido los dividendos declarados, porque la Sociedad o el registrador no tiene datos exactos y necesarios sobre la dirección o detalles bancarios, o por causa de otro retraso del acreedor, tienen derecho a presentar la demanda de pagar tales dividendos (dividendos no reclamados) durante 3 (tres) años a partir de la fecha de la toma de la decisión sobre su pago. </w:t>
            </w:r>
          </w:p>
          <w:p w:rsidR="00D36477" w:rsidRDefault="00D36477" w:rsidP="00D36477">
            <w:pPr>
              <w:pStyle w:val="Default"/>
              <w:ind w:left="177" w:firstLine="283"/>
              <w:contextualSpacing/>
              <w:jc w:val="both"/>
              <w:rPr>
                <w:lang w:val="es-ES"/>
              </w:rPr>
            </w:pPr>
          </w:p>
          <w:p w:rsidR="00D36477" w:rsidRPr="00D36477" w:rsidRDefault="00D36477" w:rsidP="00D36477">
            <w:pPr>
              <w:pStyle w:val="Default"/>
              <w:contextualSpacing/>
              <w:jc w:val="both"/>
            </w:pPr>
          </w:p>
          <w:p w:rsidR="00D36477" w:rsidRPr="002C3B35" w:rsidRDefault="00D36477" w:rsidP="00D36477">
            <w:pPr>
              <w:pStyle w:val="1"/>
              <w:numPr>
                <w:ilvl w:val="0"/>
                <w:numId w:val="4"/>
              </w:numPr>
              <w:ind w:left="177" w:firstLine="283"/>
              <w:contextualSpacing/>
              <w:outlineLvl w:val="0"/>
              <w:rPr>
                <w:lang w:val="es-ES"/>
              </w:rPr>
            </w:pPr>
            <w:r>
              <w:rPr>
                <w:lang w:val="es-ES"/>
              </w:rPr>
              <w:t>ÓRGANOS DE ADMINISTRACIÓN DE LA SOCIEDAD</w:t>
            </w:r>
          </w:p>
          <w:p w:rsidR="00D36477" w:rsidRPr="005A12D0" w:rsidRDefault="00D36477" w:rsidP="00D36477">
            <w:pPr>
              <w:numPr>
                <w:ilvl w:val="1"/>
                <w:numId w:val="4"/>
              </w:numPr>
              <w:autoSpaceDE w:val="0"/>
              <w:autoSpaceDN w:val="0"/>
              <w:adjustRightInd w:val="0"/>
              <w:spacing w:before="120" w:after="120"/>
              <w:ind w:left="177" w:firstLine="283"/>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Los órganos de administración de la Sociedad son</w:t>
            </w:r>
            <w:r w:rsidRPr="005A12D0">
              <w:rPr>
                <w:rFonts w:ascii="Times New Roman" w:hAnsi="Times New Roman" w:cs="Times New Roman"/>
                <w:sz w:val="24"/>
                <w:szCs w:val="24"/>
                <w:lang w:val="es-ES"/>
              </w:rPr>
              <w:t>:</w:t>
            </w:r>
          </w:p>
          <w:p w:rsidR="00D36477" w:rsidRPr="00EF3FA5" w:rsidRDefault="00D36477" w:rsidP="00D36477">
            <w:pPr>
              <w:pStyle w:val="6"/>
              <w:numPr>
                <w:ilvl w:val="0"/>
                <w:numId w:val="3"/>
              </w:numPr>
              <w:ind w:left="177" w:firstLine="283"/>
              <w:contextualSpacing/>
              <w:outlineLvl w:val="5"/>
              <w:rPr>
                <w:szCs w:val="24"/>
              </w:rPr>
            </w:pPr>
            <w:r>
              <w:rPr>
                <w:szCs w:val="24"/>
              </w:rPr>
              <w:t xml:space="preserve">Junta General de </w:t>
            </w:r>
            <w:proofErr w:type="spellStart"/>
            <w:r>
              <w:rPr>
                <w:szCs w:val="24"/>
              </w:rPr>
              <w:t>Accionistas</w:t>
            </w:r>
            <w:proofErr w:type="spellEnd"/>
            <w:r w:rsidRPr="00EF3FA5">
              <w:rPr>
                <w:szCs w:val="24"/>
              </w:rPr>
              <w:t>;</w:t>
            </w:r>
          </w:p>
          <w:p w:rsidR="00D36477" w:rsidRPr="00EF3FA5" w:rsidRDefault="00D36477" w:rsidP="00D36477">
            <w:pPr>
              <w:pStyle w:val="6"/>
              <w:numPr>
                <w:ilvl w:val="0"/>
                <w:numId w:val="3"/>
              </w:numPr>
              <w:ind w:left="177" w:firstLine="283"/>
              <w:contextualSpacing/>
              <w:outlineLvl w:val="5"/>
              <w:rPr>
                <w:szCs w:val="24"/>
              </w:rPr>
            </w:pPr>
            <w:proofErr w:type="spellStart"/>
            <w:r>
              <w:rPr>
                <w:szCs w:val="24"/>
              </w:rPr>
              <w:t>Consejo</w:t>
            </w:r>
            <w:proofErr w:type="spellEnd"/>
            <w:r>
              <w:rPr>
                <w:szCs w:val="24"/>
              </w:rPr>
              <w:t xml:space="preserve"> de </w:t>
            </w:r>
            <w:proofErr w:type="spellStart"/>
            <w:r>
              <w:rPr>
                <w:szCs w:val="24"/>
              </w:rPr>
              <w:t>administración</w:t>
            </w:r>
            <w:proofErr w:type="spellEnd"/>
            <w:r w:rsidRPr="00EF3FA5">
              <w:rPr>
                <w:szCs w:val="24"/>
              </w:rPr>
              <w:t>;</w:t>
            </w:r>
          </w:p>
          <w:p w:rsidR="00D36477" w:rsidRPr="005A12D0" w:rsidRDefault="00D36477" w:rsidP="00D36477">
            <w:pPr>
              <w:pStyle w:val="6"/>
              <w:numPr>
                <w:ilvl w:val="0"/>
                <w:numId w:val="3"/>
              </w:numPr>
              <w:ind w:left="177" w:firstLine="283"/>
              <w:contextualSpacing/>
              <w:outlineLvl w:val="5"/>
              <w:rPr>
                <w:szCs w:val="24"/>
                <w:lang w:val="es-ES"/>
              </w:rPr>
            </w:pPr>
            <w:r>
              <w:rPr>
                <w:szCs w:val="24"/>
                <w:lang w:val="es-ES"/>
              </w:rPr>
              <w:t>Director General</w:t>
            </w:r>
            <w:r w:rsidRPr="005A12D0">
              <w:rPr>
                <w:szCs w:val="24"/>
                <w:lang w:val="es-ES"/>
              </w:rPr>
              <w:t xml:space="preserve"> – </w:t>
            </w:r>
            <w:r>
              <w:rPr>
                <w:szCs w:val="24"/>
                <w:lang w:val="es-ES"/>
              </w:rPr>
              <w:t>el único órgano ejecutivo</w:t>
            </w:r>
            <w:r w:rsidRPr="005A12D0">
              <w:rPr>
                <w:szCs w:val="24"/>
                <w:lang w:val="es-ES"/>
              </w:rPr>
              <w:t>.</w:t>
            </w:r>
          </w:p>
          <w:p w:rsidR="00D36477" w:rsidRPr="002E3359" w:rsidRDefault="00D36477" w:rsidP="00D36477">
            <w:pPr>
              <w:numPr>
                <w:ilvl w:val="1"/>
                <w:numId w:val="4"/>
              </w:numPr>
              <w:autoSpaceDE w:val="0"/>
              <w:autoSpaceDN w:val="0"/>
              <w:adjustRightInd w:val="0"/>
              <w:spacing w:before="120" w:after="120"/>
              <w:ind w:left="177" w:firstLine="283"/>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En</w:t>
            </w:r>
            <w:r w:rsidRPr="00A83E93">
              <w:rPr>
                <w:rFonts w:ascii="Times New Roman" w:hAnsi="Times New Roman" w:cs="Times New Roman"/>
                <w:sz w:val="24"/>
                <w:szCs w:val="24"/>
                <w:lang w:val="es-ES"/>
              </w:rPr>
              <w:t xml:space="preserve"> </w:t>
            </w:r>
            <w:r>
              <w:rPr>
                <w:rFonts w:ascii="Times New Roman" w:hAnsi="Times New Roman" w:cs="Times New Roman"/>
                <w:sz w:val="24"/>
                <w:szCs w:val="24"/>
                <w:lang w:val="es-ES"/>
              </w:rPr>
              <w:t>caso</w:t>
            </w:r>
            <w:r w:rsidRPr="00A83E93">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Pr="00A83E93">
              <w:rPr>
                <w:rFonts w:ascii="Times New Roman" w:hAnsi="Times New Roman" w:cs="Times New Roman"/>
                <w:sz w:val="24"/>
                <w:szCs w:val="24"/>
                <w:lang w:val="es-ES"/>
              </w:rPr>
              <w:t xml:space="preserve"> </w:t>
            </w:r>
            <w:r>
              <w:rPr>
                <w:rFonts w:ascii="Times New Roman" w:hAnsi="Times New Roman" w:cs="Times New Roman"/>
                <w:sz w:val="24"/>
                <w:szCs w:val="24"/>
                <w:lang w:val="es-ES"/>
              </w:rPr>
              <w:t>la</w:t>
            </w:r>
            <w:r w:rsidRPr="00A83E93">
              <w:rPr>
                <w:rFonts w:ascii="Times New Roman" w:hAnsi="Times New Roman" w:cs="Times New Roman"/>
                <w:sz w:val="24"/>
                <w:szCs w:val="24"/>
                <w:lang w:val="es-ES"/>
              </w:rPr>
              <w:t xml:space="preserve"> </w:t>
            </w:r>
            <w:r>
              <w:rPr>
                <w:rFonts w:ascii="Times New Roman" w:hAnsi="Times New Roman" w:cs="Times New Roman"/>
                <w:sz w:val="24"/>
                <w:szCs w:val="24"/>
                <w:lang w:val="es-ES"/>
              </w:rPr>
              <w:t>designaci</w:t>
            </w:r>
            <w:r w:rsidRPr="00A83E93">
              <w:rPr>
                <w:rFonts w:ascii="Times New Roman" w:hAnsi="Times New Roman" w:cs="Times New Roman"/>
                <w:sz w:val="24"/>
                <w:szCs w:val="24"/>
                <w:lang w:val="es-ES"/>
              </w:rPr>
              <w:t>ó</w:t>
            </w:r>
            <w:r>
              <w:rPr>
                <w:rFonts w:ascii="Times New Roman" w:hAnsi="Times New Roman" w:cs="Times New Roman"/>
                <w:sz w:val="24"/>
                <w:szCs w:val="24"/>
                <w:lang w:val="es-ES"/>
              </w:rPr>
              <w:t>n</w:t>
            </w:r>
            <w:r w:rsidRPr="00A83E93">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Pr="00A83E93">
              <w:rPr>
                <w:rFonts w:ascii="Times New Roman" w:hAnsi="Times New Roman" w:cs="Times New Roman"/>
                <w:sz w:val="24"/>
                <w:szCs w:val="24"/>
                <w:lang w:val="es-ES"/>
              </w:rPr>
              <w:t xml:space="preserve"> </w:t>
            </w:r>
            <w:r>
              <w:rPr>
                <w:rFonts w:ascii="Times New Roman" w:hAnsi="Times New Roman" w:cs="Times New Roman"/>
                <w:sz w:val="24"/>
                <w:szCs w:val="24"/>
                <w:lang w:val="es-ES"/>
              </w:rPr>
              <w:t>la</w:t>
            </w:r>
            <w:r w:rsidRPr="00A83E93">
              <w:rPr>
                <w:rFonts w:ascii="Times New Roman" w:hAnsi="Times New Roman" w:cs="Times New Roman"/>
                <w:sz w:val="24"/>
                <w:szCs w:val="24"/>
                <w:lang w:val="es-ES"/>
              </w:rPr>
              <w:t xml:space="preserve"> </w:t>
            </w:r>
            <w:r>
              <w:rPr>
                <w:rFonts w:ascii="Times New Roman" w:hAnsi="Times New Roman" w:cs="Times New Roman"/>
                <w:sz w:val="24"/>
                <w:szCs w:val="24"/>
                <w:lang w:val="es-ES"/>
              </w:rPr>
              <w:t>comisi</w:t>
            </w:r>
            <w:r w:rsidRPr="00A83E93">
              <w:rPr>
                <w:rFonts w:ascii="Times New Roman" w:hAnsi="Times New Roman" w:cs="Times New Roman"/>
                <w:sz w:val="24"/>
                <w:szCs w:val="24"/>
                <w:lang w:val="es-ES"/>
              </w:rPr>
              <w:t>ó</w:t>
            </w:r>
            <w:r>
              <w:rPr>
                <w:rFonts w:ascii="Times New Roman" w:hAnsi="Times New Roman" w:cs="Times New Roman"/>
                <w:sz w:val="24"/>
                <w:szCs w:val="24"/>
                <w:lang w:val="es-ES"/>
              </w:rPr>
              <w:t>n</w:t>
            </w:r>
            <w:r w:rsidRPr="00A83E93">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Pr="00A83E93">
              <w:rPr>
                <w:rFonts w:ascii="Times New Roman" w:hAnsi="Times New Roman" w:cs="Times New Roman"/>
                <w:sz w:val="24"/>
                <w:szCs w:val="24"/>
                <w:lang w:val="es-ES"/>
              </w:rPr>
              <w:t xml:space="preserve"> </w:t>
            </w:r>
            <w:r>
              <w:rPr>
                <w:rFonts w:ascii="Times New Roman" w:hAnsi="Times New Roman" w:cs="Times New Roman"/>
                <w:sz w:val="24"/>
                <w:szCs w:val="24"/>
                <w:lang w:val="es-ES"/>
              </w:rPr>
              <w:t>liquidaci</w:t>
            </w:r>
            <w:r w:rsidRPr="00A83E93">
              <w:rPr>
                <w:rFonts w:ascii="Times New Roman" w:hAnsi="Times New Roman" w:cs="Times New Roman"/>
                <w:sz w:val="24"/>
                <w:szCs w:val="24"/>
                <w:lang w:val="es-ES"/>
              </w:rPr>
              <w:t>ó</w:t>
            </w:r>
            <w:r>
              <w:rPr>
                <w:rFonts w:ascii="Times New Roman" w:hAnsi="Times New Roman" w:cs="Times New Roman"/>
                <w:sz w:val="24"/>
                <w:szCs w:val="24"/>
                <w:lang w:val="es-ES"/>
              </w:rPr>
              <w:t>n</w:t>
            </w:r>
            <w:r w:rsidRPr="00A83E93">
              <w:rPr>
                <w:rFonts w:ascii="Times New Roman" w:hAnsi="Times New Roman" w:cs="Times New Roman"/>
                <w:sz w:val="24"/>
                <w:szCs w:val="24"/>
                <w:lang w:val="es-ES"/>
              </w:rPr>
              <w:t xml:space="preserve"> (</w:t>
            </w:r>
            <w:r>
              <w:rPr>
                <w:rFonts w:ascii="Times New Roman" w:hAnsi="Times New Roman" w:cs="Times New Roman"/>
                <w:sz w:val="24"/>
                <w:szCs w:val="24"/>
                <w:lang w:val="es-ES"/>
              </w:rPr>
              <w:t>el</w:t>
            </w:r>
            <w:r w:rsidRPr="00A83E93">
              <w:rPr>
                <w:rFonts w:ascii="Times New Roman" w:hAnsi="Times New Roman" w:cs="Times New Roman"/>
                <w:sz w:val="24"/>
                <w:szCs w:val="24"/>
                <w:lang w:val="es-ES"/>
              </w:rPr>
              <w:t xml:space="preserve"> </w:t>
            </w:r>
            <w:r>
              <w:rPr>
                <w:rFonts w:ascii="Times New Roman" w:hAnsi="Times New Roman" w:cs="Times New Roman"/>
                <w:sz w:val="24"/>
                <w:szCs w:val="24"/>
                <w:lang w:val="es-ES"/>
              </w:rPr>
              <w:t>liquidador</w:t>
            </w:r>
            <w:r w:rsidRPr="00A83E93">
              <w:rPr>
                <w:rFonts w:ascii="Times New Roman" w:hAnsi="Times New Roman" w:cs="Times New Roman"/>
                <w:sz w:val="24"/>
                <w:szCs w:val="24"/>
                <w:lang w:val="es-ES"/>
              </w:rPr>
              <w:t>)</w:t>
            </w:r>
            <w:r>
              <w:rPr>
                <w:rFonts w:ascii="Times New Roman" w:hAnsi="Times New Roman" w:cs="Times New Roman"/>
                <w:sz w:val="24"/>
                <w:szCs w:val="24"/>
                <w:lang w:val="es-ES"/>
              </w:rPr>
              <w:t xml:space="preserve"> de la Sociedad, ésta obtendrá todas las facutades de administración de los negocios de la Sociedad. </w:t>
            </w:r>
          </w:p>
          <w:p w:rsidR="00D36477" w:rsidRPr="00D36477" w:rsidRDefault="00D36477" w:rsidP="00D36477">
            <w:pPr>
              <w:contextualSpacing/>
              <w:jc w:val="both"/>
              <w:rPr>
                <w:rFonts w:ascii="Times New Roman" w:hAnsi="Times New Roman" w:cs="Times New Roman"/>
                <w:sz w:val="24"/>
                <w:szCs w:val="24"/>
                <w:lang w:val="es-ES"/>
              </w:rPr>
            </w:pPr>
          </w:p>
        </w:tc>
      </w:tr>
    </w:tbl>
    <w:p w:rsidR="00830AEC" w:rsidRPr="00D36477" w:rsidRDefault="00830AEC" w:rsidP="00D36477">
      <w:pPr>
        <w:spacing w:line="240" w:lineRule="auto"/>
        <w:contextualSpacing/>
        <w:jc w:val="both"/>
        <w:rPr>
          <w:rFonts w:ascii="Times New Roman" w:hAnsi="Times New Roman" w:cs="Times New Roman"/>
          <w:sz w:val="24"/>
          <w:szCs w:val="24"/>
          <w:lang w:val="es-ES"/>
        </w:rPr>
      </w:pPr>
    </w:p>
    <w:sectPr w:rsidR="00830AEC" w:rsidRPr="00D36477" w:rsidSect="00830A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79EA3DC"/>
    <w:lvl w:ilvl="0">
      <w:start w:val="1"/>
      <w:numFmt w:val="decimal"/>
      <w:pStyle w:val="1"/>
      <w:lvlText w:val="%1."/>
      <w:lvlJc w:val="left"/>
      <w:pPr>
        <w:tabs>
          <w:tab w:val="num" w:pos="-217"/>
        </w:tabs>
        <w:ind w:left="500" w:hanging="360"/>
      </w:pPr>
      <w:rPr>
        <w:rFonts w:ascii="Times New Roman" w:eastAsia="Times New Roman" w:hAnsi="Times New Roman" w:cs="Calibri" w:hint="default"/>
        <w:bCs/>
      </w:rPr>
    </w:lvl>
    <w:lvl w:ilvl="1">
      <w:start w:val="1"/>
      <w:numFmt w:val="decimal"/>
      <w:lvlText w:val="%1.%2."/>
      <w:lvlJc w:val="left"/>
      <w:pPr>
        <w:tabs>
          <w:tab w:val="num" w:pos="-217"/>
        </w:tabs>
        <w:ind w:left="500" w:hanging="360"/>
      </w:pPr>
      <w:rPr>
        <w:rFonts w:ascii="Calibri" w:eastAsia="Times New Roman" w:hAnsi="Calibri" w:cs="Calibri"/>
        <w:bCs/>
      </w:rPr>
    </w:lvl>
    <w:lvl w:ilvl="2">
      <w:start w:val="1"/>
      <w:numFmt w:val="decimal"/>
      <w:lvlText w:val="%1.%2.%3."/>
      <w:lvlJc w:val="left"/>
      <w:pPr>
        <w:tabs>
          <w:tab w:val="num" w:pos="-217"/>
        </w:tabs>
        <w:ind w:left="860" w:hanging="720"/>
      </w:pPr>
      <w:rPr>
        <w:rFonts w:ascii="Calibri" w:eastAsia="Times New Roman" w:hAnsi="Calibri" w:cs="Calibri"/>
        <w:bCs/>
      </w:rPr>
    </w:lvl>
    <w:lvl w:ilvl="3">
      <w:start w:val="1"/>
      <w:numFmt w:val="decimal"/>
      <w:lvlText w:val="%1.%2.%3.%4."/>
      <w:lvlJc w:val="left"/>
      <w:pPr>
        <w:tabs>
          <w:tab w:val="num" w:pos="-217"/>
        </w:tabs>
        <w:ind w:left="860" w:hanging="720"/>
      </w:pPr>
      <w:rPr>
        <w:rFonts w:ascii="Calibri" w:eastAsia="Times New Roman" w:hAnsi="Calibri" w:cs="Calibri"/>
        <w:bCs/>
      </w:rPr>
    </w:lvl>
    <w:lvl w:ilvl="4">
      <w:start w:val="1"/>
      <w:numFmt w:val="decimal"/>
      <w:lvlText w:val="%1.%2.%3.%4.%5."/>
      <w:lvlJc w:val="left"/>
      <w:pPr>
        <w:tabs>
          <w:tab w:val="num" w:pos="-217"/>
        </w:tabs>
        <w:ind w:left="1220" w:hanging="1080"/>
      </w:pPr>
      <w:rPr>
        <w:rFonts w:ascii="Calibri" w:eastAsia="Times New Roman" w:hAnsi="Calibri" w:cs="Calibri"/>
        <w:bCs/>
      </w:rPr>
    </w:lvl>
    <w:lvl w:ilvl="5">
      <w:start w:val="1"/>
      <w:numFmt w:val="decimal"/>
      <w:lvlText w:val="%1.%2.%3.%4.%5.%6."/>
      <w:lvlJc w:val="left"/>
      <w:pPr>
        <w:tabs>
          <w:tab w:val="num" w:pos="-217"/>
        </w:tabs>
        <w:ind w:left="1220" w:hanging="1080"/>
      </w:pPr>
      <w:rPr>
        <w:rFonts w:ascii="Calibri" w:eastAsia="Times New Roman" w:hAnsi="Calibri" w:cs="Calibri"/>
        <w:bCs/>
      </w:rPr>
    </w:lvl>
    <w:lvl w:ilvl="6">
      <w:start w:val="1"/>
      <w:numFmt w:val="decimal"/>
      <w:lvlText w:val="%1.%2.%3.%4.%5.%6.%7."/>
      <w:lvlJc w:val="left"/>
      <w:pPr>
        <w:tabs>
          <w:tab w:val="num" w:pos="-217"/>
        </w:tabs>
        <w:ind w:left="1580" w:hanging="1440"/>
      </w:pPr>
      <w:rPr>
        <w:rFonts w:ascii="Calibri" w:eastAsia="Times New Roman" w:hAnsi="Calibri" w:cs="Calibri"/>
        <w:bCs/>
      </w:rPr>
    </w:lvl>
    <w:lvl w:ilvl="7">
      <w:start w:val="1"/>
      <w:numFmt w:val="decimal"/>
      <w:lvlText w:val="%1.%2.%3.%4.%5.%6.%7.%8."/>
      <w:lvlJc w:val="left"/>
      <w:pPr>
        <w:tabs>
          <w:tab w:val="num" w:pos="-217"/>
        </w:tabs>
        <w:ind w:left="1580" w:hanging="1440"/>
      </w:pPr>
      <w:rPr>
        <w:rFonts w:ascii="Calibri" w:eastAsia="Times New Roman" w:hAnsi="Calibri" w:cs="Calibri"/>
        <w:bCs/>
      </w:rPr>
    </w:lvl>
    <w:lvl w:ilvl="8">
      <w:start w:val="1"/>
      <w:numFmt w:val="decimal"/>
      <w:lvlText w:val="%1.%2.%3.%4.%5.%6.%7.%8.%9."/>
      <w:lvlJc w:val="left"/>
      <w:pPr>
        <w:tabs>
          <w:tab w:val="num" w:pos="-217"/>
        </w:tabs>
        <w:ind w:left="1940" w:hanging="1800"/>
      </w:pPr>
      <w:rPr>
        <w:rFonts w:ascii="Calibri" w:eastAsia="Times New Roman" w:hAnsi="Calibri" w:cs="Calibri"/>
        <w:bCs/>
      </w:rPr>
    </w:lvl>
  </w:abstractNum>
  <w:abstractNum w:abstractNumId="1">
    <w:nsid w:val="037B443D"/>
    <w:multiLevelType w:val="hybridMultilevel"/>
    <w:tmpl w:val="7966C354"/>
    <w:lvl w:ilvl="0" w:tplc="1D2095B0">
      <w:start w:val="1"/>
      <w:numFmt w:val="bullet"/>
      <w:lvlText w:val="-"/>
      <w:lvlJc w:val="left"/>
      <w:pPr>
        <w:ind w:left="2421" w:hanging="360"/>
      </w:pPr>
      <w:rPr>
        <w:rFonts w:hint="default"/>
        <w:b/>
      </w:rPr>
    </w:lvl>
    <w:lvl w:ilvl="1" w:tplc="04190003" w:tentative="1">
      <w:start w:val="1"/>
      <w:numFmt w:val="bullet"/>
      <w:lvlText w:val="o"/>
      <w:lvlJc w:val="left"/>
      <w:pPr>
        <w:ind w:left="3141" w:hanging="360"/>
      </w:pPr>
      <w:rPr>
        <w:rFonts w:ascii="Courier New" w:hAnsi="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
    <w:nsid w:val="1DD52AE5"/>
    <w:multiLevelType w:val="multilevel"/>
    <w:tmpl w:val="56A46AE4"/>
    <w:lvl w:ilvl="0">
      <w:start w:val="1"/>
      <w:numFmt w:val="decimal"/>
      <w:lvlText w:val="%1."/>
      <w:lvlJc w:val="left"/>
      <w:pPr>
        <w:ind w:left="502" w:hanging="360"/>
      </w:pPr>
      <w:rPr>
        <w:rFonts w:cs="Times New Roman" w:hint="default"/>
        <w:b/>
        <w:i w:val="0"/>
      </w:rPr>
    </w:lvl>
    <w:lvl w:ilvl="1">
      <w:start w:val="1"/>
      <w:numFmt w:val="decimal"/>
      <w:isLgl/>
      <w:lvlText w:val="%1.%2."/>
      <w:lvlJc w:val="left"/>
      <w:pPr>
        <w:ind w:left="1070" w:hanging="360"/>
      </w:pPr>
      <w:rPr>
        <w:rFonts w:ascii="Times New Roman" w:hAnsi="Times New Roman" w:cs="Times New Roman" w:hint="default"/>
        <w:b w:val="0"/>
        <w:sz w:val="24"/>
        <w:szCs w:val="24"/>
      </w:rPr>
    </w:lvl>
    <w:lvl w:ilvl="2">
      <w:start w:val="1"/>
      <w:numFmt w:val="decimal"/>
      <w:isLgl/>
      <w:lvlText w:val="%1.%2.%3."/>
      <w:lvlJc w:val="left"/>
      <w:pPr>
        <w:ind w:left="1287" w:hanging="720"/>
      </w:pPr>
      <w:rPr>
        <w:rFonts w:ascii="Times New Roman" w:hAnsi="Times New Roman" w:cs="Times New Roman" w:hint="default"/>
        <w:i w:val="0"/>
        <w:color w:val="auto"/>
        <w:sz w:val="24"/>
        <w:szCs w:val="24"/>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290F5B6C"/>
    <w:multiLevelType w:val="multilevel"/>
    <w:tmpl w:val="FCAC1AD4"/>
    <w:lvl w:ilvl="0">
      <w:start w:val="1"/>
      <w:numFmt w:val="decimal"/>
      <w:lvlText w:val="%1."/>
      <w:lvlJc w:val="left"/>
      <w:pPr>
        <w:ind w:left="502" w:hanging="360"/>
      </w:pPr>
      <w:rPr>
        <w:rFonts w:ascii="Times New Roman" w:eastAsiaTheme="minorHAnsi" w:hAnsi="Times New Roman" w:cs="Times New Roman"/>
        <w:b/>
        <w:i w:val="0"/>
      </w:rPr>
    </w:lvl>
    <w:lvl w:ilvl="1">
      <w:start w:val="1"/>
      <w:numFmt w:val="decimal"/>
      <w:isLgl/>
      <w:lvlText w:val="%1.%2."/>
      <w:lvlJc w:val="left"/>
      <w:pPr>
        <w:ind w:left="1070" w:hanging="360"/>
      </w:pPr>
      <w:rPr>
        <w:rFonts w:ascii="Times New Roman" w:hAnsi="Times New Roman" w:cs="Times New Roman" w:hint="default"/>
        <w:b w:val="0"/>
        <w:sz w:val="24"/>
        <w:szCs w:val="24"/>
      </w:rPr>
    </w:lvl>
    <w:lvl w:ilvl="2">
      <w:start w:val="1"/>
      <w:numFmt w:val="decimal"/>
      <w:isLgl/>
      <w:lvlText w:val="%1.%2.%3."/>
      <w:lvlJc w:val="left"/>
      <w:pPr>
        <w:ind w:left="1287" w:hanging="720"/>
      </w:pPr>
      <w:rPr>
        <w:rFonts w:ascii="Times New Roman" w:hAnsi="Times New Roman" w:cs="Times New Roman" w:hint="default"/>
        <w:i w:val="0"/>
        <w:color w:val="auto"/>
        <w:sz w:val="24"/>
        <w:szCs w:val="24"/>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D36477"/>
    <w:rsid w:val="00830AEC"/>
    <w:rsid w:val="00B2425E"/>
    <w:rsid w:val="00D36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AEC"/>
    <w:rPr>
      <w:lang w:val="en-US"/>
    </w:rPr>
  </w:style>
  <w:style w:type="paragraph" w:styleId="1">
    <w:name w:val="heading 1"/>
    <w:basedOn w:val="a"/>
    <w:next w:val="a"/>
    <w:link w:val="11"/>
    <w:uiPriority w:val="99"/>
    <w:qFormat/>
    <w:rsid w:val="00D36477"/>
    <w:pPr>
      <w:numPr>
        <w:numId w:val="1"/>
      </w:numPr>
      <w:suppressAutoHyphens/>
      <w:spacing w:before="120" w:after="120" w:line="240" w:lineRule="auto"/>
      <w:jc w:val="center"/>
      <w:outlineLvl w:val="0"/>
    </w:pPr>
    <w:rPr>
      <w:rFonts w:ascii="Times New Roman" w:eastAsia="Times New Roman" w:hAnsi="Times New Roman" w:cs="Times New Roman"/>
      <w:b/>
      <w:bCs/>
      <w:sz w:val="24"/>
      <w:szCs w:val="24"/>
      <w:u w:val="single"/>
      <w:lang w:val="ru-RU" w:eastAsia="ar-SA"/>
    </w:rPr>
  </w:style>
  <w:style w:type="paragraph" w:styleId="6">
    <w:name w:val="heading 6"/>
    <w:basedOn w:val="a"/>
    <w:next w:val="a"/>
    <w:link w:val="61"/>
    <w:uiPriority w:val="99"/>
    <w:qFormat/>
    <w:rsid w:val="00D36477"/>
    <w:pPr>
      <w:suppressAutoHyphens/>
      <w:spacing w:after="120" w:line="240" w:lineRule="auto"/>
      <w:ind w:left="360"/>
      <w:jc w:val="both"/>
      <w:outlineLvl w:val="5"/>
    </w:pPr>
    <w:rPr>
      <w:rFonts w:ascii="Times New Roman" w:eastAsia="Times New Roman" w:hAnsi="Times New Roman" w:cs="Times New Roman"/>
      <w:bCs/>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36477"/>
    <w:rPr>
      <w:rFonts w:asciiTheme="majorHAnsi" w:eastAsiaTheme="majorEastAsia" w:hAnsiTheme="majorHAnsi" w:cstheme="majorBidi"/>
      <w:b/>
      <w:bCs/>
      <w:color w:val="365F91" w:themeColor="accent1" w:themeShade="BF"/>
      <w:sz w:val="28"/>
      <w:szCs w:val="28"/>
      <w:lang w:val="en-US"/>
    </w:rPr>
  </w:style>
  <w:style w:type="character" w:customStyle="1" w:styleId="60">
    <w:name w:val="Заголовок 6 Знак"/>
    <w:basedOn w:val="a0"/>
    <w:link w:val="6"/>
    <w:uiPriority w:val="9"/>
    <w:semiHidden/>
    <w:rsid w:val="00D36477"/>
    <w:rPr>
      <w:rFonts w:asciiTheme="majorHAnsi" w:eastAsiaTheme="majorEastAsia" w:hAnsiTheme="majorHAnsi" w:cstheme="majorBidi"/>
      <w:i/>
      <w:iCs/>
      <w:color w:val="243F60" w:themeColor="accent1" w:themeShade="7F"/>
      <w:lang w:val="en-US"/>
    </w:rPr>
  </w:style>
  <w:style w:type="character" w:customStyle="1" w:styleId="11">
    <w:name w:val="Заголовок 1 Знак1"/>
    <w:basedOn w:val="a0"/>
    <w:link w:val="1"/>
    <w:uiPriority w:val="99"/>
    <w:locked/>
    <w:rsid w:val="00D36477"/>
    <w:rPr>
      <w:rFonts w:ascii="Times New Roman" w:eastAsia="Times New Roman" w:hAnsi="Times New Roman" w:cs="Times New Roman"/>
      <w:b/>
      <w:bCs/>
      <w:sz w:val="24"/>
      <w:szCs w:val="24"/>
      <w:u w:val="single"/>
      <w:lang w:eastAsia="ar-SA"/>
    </w:rPr>
  </w:style>
  <w:style w:type="character" w:customStyle="1" w:styleId="61">
    <w:name w:val="Заголовок 6 Знак1"/>
    <w:basedOn w:val="a0"/>
    <w:link w:val="6"/>
    <w:uiPriority w:val="99"/>
    <w:locked/>
    <w:rsid w:val="00D36477"/>
    <w:rPr>
      <w:rFonts w:ascii="Times New Roman" w:eastAsia="Times New Roman" w:hAnsi="Times New Roman" w:cs="Times New Roman"/>
      <w:bCs/>
      <w:sz w:val="24"/>
      <w:lang w:val="en-US" w:eastAsia="ar-SA"/>
    </w:rPr>
  </w:style>
  <w:style w:type="paragraph" w:customStyle="1" w:styleId="Default">
    <w:name w:val="Default"/>
    <w:rsid w:val="00D3647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4">
    <w:name w:val="List Paragraph"/>
    <w:basedOn w:val="a"/>
    <w:uiPriority w:val="99"/>
    <w:qFormat/>
    <w:rsid w:val="00D36477"/>
    <w:pPr>
      <w:suppressAutoHyphens/>
      <w:spacing w:after="0" w:line="240" w:lineRule="auto"/>
      <w:ind w:left="708"/>
      <w:jc w:val="both"/>
    </w:pPr>
    <w:rPr>
      <w:rFonts w:ascii="Calibri" w:eastAsia="Times New Roman" w:hAnsi="Calibri" w:cs="Calibri"/>
      <w:lang w:val="ru-RU" w:eastAsia="ar-SA"/>
    </w:rPr>
  </w:style>
  <w:style w:type="character" w:customStyle="1" w:styleId="blk">
    <w:name w:val="blk"/>
    <w:basedOn w:val="a0"/>
    <w:uiPriority w:val="99"/>
    <w:rsid w:val="00D3647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808</Words>
  <Characters>4609</Characters>
  <Application>Microsoft Office Word</Application>
  <DocSecurity>0</DocSecurity>
  <Lines>38</Lines>
  <Paragraphs>10</Paragraphs>
  <ScaleCrop>false</ScaleCrop>
  <Company>Microsoft</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2017-04-25T19:12:00Z</dcterms:created>
  <dcterms:modified xsi:type="dcterms:W3CDTF">2017-04-25T19:18:00Z</dcterms:modified>
</cp:coreProperties>
</file>